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1C61" w14:textId="032DACE0" w:rsidR="00366702" w:rsidRPr="00DE77D4" w:rsidRDefault="00366702" w:rsidP="00DE77D4">
      <w:pPr>
        <w:jc w:val="center"/>
        <w:rPr>
          <w:rFonts w:ascii="Century Schoolbook" w:hAnsi="Century Schoolbook"/>
          <w:color w:val="153D63" w:themeColor="text2" w:themeTint="E6"/>
          <w:sz w:val="40"/>
          <w:szCs w:val="40"/>
        </w:rPr>
      </w:pPr>
      <w:r w:rsidRPr="00DE77D4">
        <w:rPr>
          <w:rFonts w:ascii="Century Schoolbook" w:hAnsi="Century Schoolbook"/>
          <w:color w:val="153D63" w:themeColor="text2" w:themeTint="E6"/>
          <w:sz w:val="40"/>
          <w:szCs w:val="40"/>
        </w:rPr>
        <w:t>ANNUAL REPORT OF THE DEPARTMENT OF INDIGENT DEFENSE SERVICES</w:t>
      </w:r>
    </w:p>
    <w:p w14:paraId="626AF7FB" w14:textId="577E7BCA" w:rsidR="00366702" w:rsidRPr="00DE77D4" w:rsidRDefault="00366702" w:rsidP="00DE77D4">
      <w:pPr>
        <w:jc w:val="center"/>
        <w:rPr>
          <w:rFonts w:ascii="Century Schoolbook" w:hAnsi="Century Schoolbook"/>
          <w:sz w:val="32"/>
          <w:szCs w:val="32"/>
        </w:rPr>
      </w:pPr>
      <w:r w:rsidRPr="00DE77D4">
        <w:rPr>
          <w:rFonts w:ascii="Century Schoolbook" w:hAnsi="Century Schoolbook"/>
          <w:sz w:val="32"/>
          <w:szCs w:val="32"/>
        </w:rPr>
        <w:t>MEETINGS AND PARTINGS</w:t>
      </w:r>
    </w:p>
    <w:p w14:paraId="36C129F7" w14:textId="77777777" w:rsidR="00366702" w:rsidRPr="00DE77D4" w:rsidRDefault="00366702" w:rsidP="00DE77D4">
      <w:pPr>
        <w:jc w:val="center"/>
        <w:rPr>
          <w:rFonts w:ascii="Century Schoolbook" w:hAnsi="Century Schoolbook"/>
        </w:rPr>
      </w:pPr>
    </w:p>
    <w:p w14:paraId="135548B4" w14:textId="77777777" w:rsidR="00366702" w:rsidRPr="00DE77D4" w:rsidRDefault="00366702" w:rsidP="00DE77D4">
      <w:pPr>
        <w:jc w:val="center"/>
        <w:rPr>
          <w:rFonts w:ascii="Century Schoolbook" w:hAnsi="Century Schoolbook"/>
        </w:rPr>
      </w:pPr>
    </w:p>
    <w:p w14:paraId="3C05CEBD" w14:textId="77777777" w:rsidR="00366702" w:rsidRPr="00DE77D4" w:rsidRDefault="00366702" w:rsidP="00DE77D4">
      <w:pPr>
        <w:jc w:val="center"/>
        <w:rPr>
          <w:rFonts w:ascii="Century Schoolbook" w:hAnsi="Century Schoolbook"/>
        </w:rPr>
      </w:pPr>
    </w:p>
    <w:p w14:paraId="30086845" w14:textId="77777777" w:rsidR="00366702" w:rsidRPr="00DE77D4" w:rsidRDefault="00366702" w:rsidP="00DE77D4">
      <w:pPr>
        <w:jc w:val="center"/>
        <w:rPr>
          <w:rFonts w:ascii="Century Schoolbook" w:hAnsi="Century Schoolbook"/>
        </w:rPr>
      </w:pPr>
    </w:p>
    <w:p w14:paraId="656021FF" w14:textId="77777777" w:rsidR="00366702" w:rsidRPr="00DE77D4" w:rsidRDefault="00366702" w:rsidP="00DE77D4">
      <w:pPr>
        <w:jc w:val="center"/>
        <w:rPr>
          <w:rFonts w:ascii="Century Schoolbook" w:hAnsi="Century Schoolbook"/>
        </w:rPr>
      </w:pPr>
    </w:p>
    <w:p w14:paraId="448EC8B4" w14:textId="77777777" w:rsidR="00366702" w:rsidRPr="00DE77D4" w:rsidRDefault="00366702" w:rsidP="00DE77D4">
      <w:pPr>
        <w:jc w:val="center"/>
        <w:rPr>
          <w:rFonts w:ascii="Century Schoolbook" w:hAnsi="Century Schoolbook"/>
        </w:rPr>
      </w:pPr>
    </w:p>
    <w:p w14:paraId="56D64149" w14:textId="77777777" w:rsidR="00366702" w:rsidRPr="00DE77D4" w:rsidRDefault="00366702" w:rsidP="00DE77D4">
      <w:pPr>
        <w:jc w:val="center"/>
        <w:rPr>
          <w:rFonts w:ascii="Century Schoolbook" w:hAnsi="Century Schoolbook"/>
        </w:rPr>
      </w:pPr>
    </w:p>
    <w:p w14:paraId="597A7D5B" w14:textId="77777777" w:rsidR="00366702" w:rsidRPr="00DE77D4" w:rsidRDefault="00366702" w:rsidP="00DE77D4">
      <w:pPr>
        <w:jc w:val="center"/>
        <w:rPr>
          <w:rFonts w:ascii="Century Schoolbook" w:hAnsi="Century Schoolbook"/>
        </w:rPr>
      </w:pPr>
    </w:p>
    <w:p w14:paraId="558BB023" w14:textId="77777777" w:rsidR="00366702" w:rsidRPr="00DE77D4" w:rsidRDefault="00366702" w:rsidP="00DE77D4">
      <w:pPr>
        <w:jc w:val="center"/>
        <w:rPr>
          <w:rFonts w:ascii="Century Schoolbook" w:hAnsi="Century Schoolbook"/>
        </w:rPr>
      </w:pPr>
    </w:p>
    <w:p w14:paraId="3F62D8E9" w14:textId="77777777" w:rsidR="00366702" w:rsidRPr="00DE77D4" w:rsidRDefault="00366702" w:rsidP="00DE77D4">
      <w:pPr>
        <w:jc w:val="center"/>
        <w:rPr>
          <w:rFonts w:ascii="Century Schoolbook" w:hAnsi="Century Schoolbook"/>
        </w:rPr>
      </w:pPr>
    </w:p>
    <w:p w14:paraId="75A2D560" w14:textId="77777777" w:rsidR="00366702" w:rsidRPr="00DE77D4" w:rsidRDefault="00366702" w:rsidP="00DE77D4">
      <w:pPr>
        <w:jc w:val="center"/>
        <w:rPr>
          <w:rFonts w:ascii="Century Schoolbook" w:hAnsi="Century Schoolbook"/>
        </w:rPr>
      </w:pPr>
    </w:p>
    <w:p w14:paraId="028753C2" w14:textId="77777777" w:rsidR="00366702" w:rsidRPr="00DE77D4" w:rsidRDefault="00366702" w:rsidP="00DE77D4">
      <w:pPr>
        <w:jc w:val="center"/>
        <w:rPr>
          <w:rFonts w:ascii="Century Schoolbook" w:hAnsi="Century Schoolbook"/>
        </w:rPr>
      </w:pPr>
    </w:p>
    <w:p w14:paraId="008779C5" w14:textId="77777777" w:rsidR="00366702" w:rsidRPr="00DE77D4" w:rsidRDefault="00366702" w:rsidP="00DE77D4">
      <w:pPr>
        <w:jc w:val="center"/>
        <w:rPr>
          <w:rFonts w:ascii="Century Schoolbook" w:hAnsi="Century Schoolbook"/>
        </w:rPr>
      </w:pPr>
    </w:p>
    <w:p w14:paraId="71AB4365" w14:textId="77777777" w:rsidR="00366702" w:rsidRPr="00DE77D4" w:rsidRDefault="00366702" w:rsidP="00DE77D4">
      <w:pPr>
        <w:jc w:val="center"/>
        <w:rPr>
          <w:rFonts w:ascii="Century Schoolbook" w:hAnsi="Century Schoolbook"/>
        </w:rPr>
      </w:pPr>
    </w:p>
    <w:p w14:paraId="4A8DE41D" w14:textId="77777777" w:rsidR="00366702" w:rsidRPr="00DE77D4" w:rsidRDefault="00366702" w:rsidP="00DE77D4">
      <w:pPr>
        <w:jc w:val="center"/>
        <w:rPr>
          <w:rFonts w:ascii="Century Schoolbook" w:hAnsi="Century Schoolbook"/>
        </w:rPr>
      </w:pPr>
    </w:p>
    <w:p w14:paraId="29A33414" w14:textId="77777777" w:rsidR="00DE77D4" w:rsidRPr="00DE77D4" w:rsidRDefault="00DE77D4" w:rsidP="00DE77D4">
      <w:pPr>
        <w:jc w:val="center"/>
        <w:rPr>
          <w:rFonts w:ascii="Century Schoolbook" w:hAnsi="Century Schoolbook"/>
        </w:rPr>
      </w:pPr>
    </w:p>
    <w:p w14:paraId="3F7A6111" w14:textId="77777777" w:rsidR="00DE77D4" w:rsidRPr="00DE77D4" w:rsidRDefault="00DE77D4" w:rsidP="00DE77D4">
      <w:pPr>
        <w:jc w:val="center"/>
        <w:rPr>
          <w:rFonts w:ascii="Century Schoolbook" w:hAnsi="Century Schoolbook"/>
        </w:rPr>
      </w:pPr>
    </w:p>
    <w:p w14:paraId="74EACDF2" w14:textId="1891B53C" w:rsidR="00366702" w:rsidRPr="00DE77D4" w:rsidRDefault="00366702" w:rsidP="00DE77D4">
      <w:pPr>
        <w:jc w:val="center"/>
        <w:rPr>
          <w:rFonts w:ascii="Century Schoolbook" w:hAnsi="Century Schoolbook"/>
          <w:sz w:val="28"/>
          <w:szCs w:val="28"/>
        </w:rPr>
      </w:pPr>
      <w:r w:rsidRPr="00DE77D4">
        <w:rPr>
          <w:rFonts w:ascii="Century Schoolbook" w:hAnsi="Century Schoolbook"/>
          <w:sz w:val="28"/>
          <w:szCs w:val="28"/>
        </w:rPr>
        <w:t>Presented to the Board on Indigent Defense Services: June 26, 2025</w:t>
      </w:r>
    </w:p>
    <w:p w14:paraId="2CF43EF9" w14:textId="4E10C472" w:rsidR="00366702" w:rsidRPr="00DE77D4" w:rsidRDefault="00235D1A" w:rsidP="00DE77D4">
      <w:pPr>
        <w:jc w:val="center"/>
        <w:rPr>
          <w:color w:val="153D63" w:themeColor="text2" w:themeTint="E6"/>
          <w:sz w:val="28"/>
          <w:szCs w:val="28"/>
        </w:rPr>
      </w:pPr>
      <w:r w:rsidRPr="00DE77D4">
        <w:rPr>
          <w:rFonts w:ascii="Century Schoolbook" w:hAnsi="Century Schoolbook"/>
          <w:sz w:val="28"/>
          <w:szCs w:val="28"/>
        </w:rPr>
        <w:t xml:space="preserve">Delivered and </w:t>
      </w:r>
      <w:r w:rsidR="00366702" w:rsidRPr="00DE77D4">
        <w:rPr>
          <w:rFonts w:ascii="Century Schoolbook" w:hAnsi="Century Schoolbook"/>
          <w:sz w:val="28"/>
          <w:szCs w:val="28"/>
        </w:rPr>
        <w:t>Published: July 1, 2025</w:t>
      </w:r>
      <w:r w:rsidR="00366702" w:rsidRPr="00DE77D4">
        <w:rPr>
          <w:sz w:val="28"/>
          <w:szCs w:val="28"/>
        </w:rPr>
        <w:br w:type="page"/>
      </w:r>
    </w:p>
    <w:p w14:paraId="240901B9" w14:textId="6EF0810E" w:rsidR="00366702" w:rsidRDefault="00366702" w:rsidP="00366702">
      <w:pPr>
        <w:pStyle w:val="DIDSHeading"/>
      </w:pPr>
      <w:bookmarkStart w:id="0" w:name="_Toc201769345"/>
      <w:r>
        <w:lastRenderedPageBreak/>
        <w:t>Table of Contents</w:t>
      </w:r>
      <w:bookmarkEnd w:id="0"/>
    </w:p>
    <w:sdt>
      <w:sdtPr>
        <w:rPr>
          <w:rFonts w:ascii="Century Schoolbook" w:eastAsiaTheme="minorEastAsia" w:hAnsi="Century Schoolbook" w:cstheme="minorBidi"/>
          <w:color w:val="auto"/>
          <w:kern w:val="2"/>
          <w:sz w:val="24"/>
          <w:szCs w:val="24"/>
          <w14:ligatures w14:val="standardContextual"/>
        </w:rPr>
        <w:id w:val="-1677882386"/>
        <w:docPartObj>
          <w:docPartGallery w:val="Table of Contents"/>
          <w:docPartUnique/>
        </w:docPartObj>
      </w:sdtPr>
      <w:sdtEndPr>
        <w:rPr>
          <w:b/>
        </w:rPr>
      </w:sdtEndPr>
      <w:sdtContent>
        <w:p w14:paraId="3C1F89A3" w14:textId="18A7097A" w:rsidR="00BE5062" w:rsidRPr="00DE77D4" w:rsidRDefault="00BE5062">
          <w:pPr>
            <w:pStyle w:val="TOCHeading"/>
            <w:rPr>
              <w:rFonts w:ascii="Century Schoolbook" w:hAnsi="Century Schoolbook"/>
            </w:rPr>
          </w:pPr>
        </w:p>
        <w:p w14:paraId="1AD51A95" w14:textId="2BB80CAA" w:rsidR="00F06993" w:rsidRPr="00F06993" w:rsidRDefault="00BE5062">
          <w:pPr>
            <w:pStyle w:val="TOC1"/>
            <w:tabs>
              <w:tab w:val="right" w:leader="dot" w:pos="9350"/>
            </w:tabs>
            <w:rPr>
              <w:rFonts w:ascii="Century Schoolbook" w:eastAsiaTheme="minorEastAsia" w:hAnsi="Century Schoolbook"/>
              <w:noProof/>
            </w:rPr>
          </w:pPr>
          <w:r w:rsidRPr="00F06993">
            <w:rPr>
              <w:rFonts w:ascii="Century Schoolbook" w:hAnsi="Century Schoolbook"/>
            </w:rPr>
            <w:fldChar w:fldCharType="begin"/>
          </w:r>
          <w:r w:rsidRPr="00F06993">
            <w:rPr>
              <w:rFonts w:ascii="Century Schoolbook" w:hAnsi="Century Schoolbook"/>
            </w:rPr>
            <w:instrText xml:space="preserve"> TOC \o "1-3" \h \z \u </w:instrText>
          </w:r>
          <w:r w:rsidRPr="00F06993">
            <w:rPr>
              <w:rFonts w:ascii="Century Schoolbook" w:hAnsi="Century Schoolbook"/>
            </w:rPr>
            <w:fldChar w:fldCharType="separate"/>
          </w:r>
          <w:hyperlink w:anchor="_Toc201769345" w:history="1">
            <w:r w:rsidR="00F06993" w:rsidRPr="00F06993">
              <w:rPr>
                <w:rStyle w:val="Hyperlink"/>
                <w:rFonts w:ascii="Century Schoolbook" w:hAnsi="Century Schoolbook"/>
                <w:noProof/>
              </w:rPr>
              <w:t>Table of Contents</w:t>
            </w:r>
            <w:r w:rsidR="00F06993" w:rsidRPr="00F06993">
              <w:rPr>
                <w:rFonts w:ascii="Century Schoolbook" w:hAnsi="Century Schoolbook"/>
                <w:noProof/>
                <w:webHidden/>
              </w:rPr>
              <w:tab/>
            </w:r>
            <w:r w:rsidR="00F06993" w:rsidRPr="00F06993">
              <w:rPr>
                <w:rFonts w:ascii="Century Schoolbook" w:hAnsi="Century Schoolbook"/>
                <w:noProof/>
                <w:webHidden/>
              </w:rPr>
              <w:fldChar w:fldCharType="begin"/>
            </w:r>
            <w:r w:rsidR="00F06993" w:rsidRPr="00F06993">
              <w:rPr>
                <w:rFonts w:ascii="Century Schoolbook" w:hAnsi="Century Schoolbook"/>
                <w:noProof/>
                <w:webHidden/>
              </w:rPr>
              <w:instrText xml:space="preserve"> PAGEREF _Toc201769345 \h </w:instrText>
            </w:r>
            <w:r w:rsidR="00F06993" w:rsidRPr="00F06993">
              <w:rPr>
                <w:rFonts w:ascii="Century Schoolbook" w:hAnsi="Century Schoolbook"/>
                <w:noProof/>
                <w:webHidden/>
              </w:rPr>
            </w:r>
            <w:r w:rsidR="00F06993" w:rsidRPr="00F06993">
              <w:rPr>
                <w:rFonts w:ascii="Century Schoolbook" w:hAnsi="Century Schoolbook"/>
                <w:noProof/>
                <w:webHidden/>
              </w:rPr>
              <w:fldChar w:fldCharType="separate"/>
            </w:r>
            <w:r w:rsidR="00F06993" w:rsidRPr="00F06993">
              <w:rPr>
                <w:rFonts w:ascii="Century Schoolbook" w:hAnsi="Century Schoolbook"/>
                <w:noProof/>
                <w:webHidden/>
              </w:rPr>
              <w:t>2</w:t>
            </w:r>
            <w:r w:rsidR="00F06993" w:rsidRPr="00F06993">
              <w:rPr>
                <w:rFonts w:ascii="Century Schoolbook" w:hAnsi="Century Schoolbook"/>
                <w:noProof/>
                <w:webHidden/>
              </w:rPr>
              <w:fldChar w:fldCharType="end"/>
            </w:r>
          </w:hyperlink>
        </w:p>
        <w:p w14:paraId="7C6981C5" w14:textId="4D723846" w:rsidR="00F06993" w:rsidRPr="00F06993" w:rsidRDefault="00F06993">
          <w:pPr>
            <w:pStyle w:val="TOC1"/>
            <w:tabs>
              <w:tab w:val="right" w:leader="dot" w:pos="9350"/>
            </w:tabs>
            <w:rPr>
              <w:rFonts w:ascii="Century Schoolbook" w:eastAsiaTheme="minorEastAsia" w:hAnsi="Century Schoolbook"/>
              <w:noProof/>
            </w:rPr>
          </w:pPr>
          <w:hyperlink w:anchor="_Toc201769346" w:history="1">
            <w:r w:rsidRPr="00F06993">
              <w:rPr>
                <w:rStyle w:val="Hyperlink"/>
                <w:rFonts w:ascii="Century Schoolbook" w:hAnsi="Century Schoolbook"/>
                <w:noProof/>
              </w:rPr>
              <w:t>Vision</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_Toc201769346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3</w:t>
            </w:r>
            <w:r w:rsidRPr="00F06993">
              <w:rPr>
                <w:rFonts w:ascii="Century Schoolbook" w:hAnsi="Century Schoolbook"/>
                <w:noProof/>
                <w:webHidden/>
              </w:rPr>
              <w:fldChar w:fldCharType="end"/>
            </w:r>
          </w:hyperlink>
        </w:p>
        <w:p w14:paraId="76A452E2" w14:textId="56C915F9" w:rsidR="00F06993" w:rsidRPr="00F06993" w:rsidRDefault="00F06993">
          <w:pPr>
            <w:pStyle w:val="TOC1"/>
            <w:tabs>
              <w:tab w:val="right" w:leader="dot" w:pos="9350"/>
            </w:tabs>
            <w:rPr>
              <w:rFonts w:ascii="Century Schoolbook" w:eastAsiaTheme="minorEastAsia" w:hAnsi="Century Schoolbook"/>
              <w:noProof/>
            </w:rPr>
          </w:pPr>
          <w:hyperlink w:anchor="_Toc201769347" w:history="1">
            <w:r w:rsidRPr="00F06993">
              <w:rPr>
                <w:rStyle w:val="Hyperlink"/>
                <w:rFonts w:ascii="Century Schoolbook" w:hAnsi="Century Schoolbook"/>
                <w:noProof/>
              </w:rPr>
              <w:t>Mission</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_Toc201769347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3</w:t>
            </w:r>
            <w:r w:rsidRPr="00F06993">
              <w:rPr>
                <w:rFonts w:ascii="Century Schoolbook" w:hAnsi="Century Schoolbook"/>
                <w:noProof/>
                <w:webHidden/>
              </w:rPr>
              <w:fldChar w:fldCharType="end"/>
            </w:r>
          </w:hyperlink>
        </w:p>
        <w:p w14:paraId="190C8CBC" w14:textId="35820B28" w:rsidR="00F06993" w:rsidRPr="00F06993" w:rsidRDefault="00F06993">
          <w:pPr>
            <w:pStyle w:val="TOC1"/>
            <w:tabs>
              <w:tab w:val="right" w:leader="dot" w:pos="9350"/>
            </w:tabs>
            <w:rPr>
              <w:rFonts w:ascii="Century Schoolbook" w:eastAsiaTheme="minorEastAsia" w:hAnsi="Century Schoolbook"/>
              <w:noProof/>
            </w:rPr>
          </w:pPr>
          <w:hyperlink w:anchor="_Toc201769348" w:history="1">
            <w:r w:rsidRPr="00F06993">
              <w:rPr>
                <w:rStyle w:val="Hyperlink"/>
                <w:rFonts w:ascii="Century Schoolbook" w:hAnsi="Century Schoolbook"/>
                <w:noProof/>
              </w:rPr>
              <w:t>Goals</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_Toc201769348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3</w:t>
            </w:r>
            <w:r w:rsidRPr="00F06993">
              <w:rPr>
                <w:rFonts w:ascii="Century Schoolbook" w:hAnsi="Century Schoolbook"/>
                <w:noProof/>
                <w:webHidden/>
              </w:rPr>
              <w:fldChar w:fldCharType="end"/>
            </w:r>
          </w:hyperlink>
        </w:p>
        <w:p w14:paraId="117FB9AE" w14:textId="76403490" w:rsidR="00F06993" w:rsidRPr="00F06993" w:rsidRDefault="00F06993">
          <w:pPr>
            <w:pStyle w:val="TOC1"/>
            <w:tabs>
              <w:tab w:val="right" w:leader="dot" w:pos="9350"/>
            </w:tabs>
            <w:rPr>
              <w:rFonts w:ascii="Century Schoolbook" w:eastAsiaTheme="minorEastAsia" w:hAnsi="Century Schoolbook"/>
              <w:noProof/>
            </w:rPr>
          </w:pPr>
          <w:hyperlink w:anchor="_Toc201769349" w:history="1">
            <w:r w:rsidRPr="00F06993">
              <w:rPr>
                <w:rStyle w:val="Hyperlink"/>
                <w:rFonts w:ascii="Century Schoolbook" w:hAnsi="Century Schoolbook"/>
                <w:noProof/>
              </w:rPr>
              <w:t>Introduction and Executive Summary</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_Toc201769349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4</w:t>
            </w:r>
            <w:r w:rsidRPr="00F06993">
              <w:rPr>
                <w:rFonts w:ascii="Century Schoolbook" w:hAnsi="Century Schoolbook"/>
                <w:noProof/>
                <w:webHidden/>
              </w:rPr>
              <w:fldChar w:fldCharType="end"/>
            </w:r>
          </w:hyperlink>
        </w:p>
        <w:p w14:paraId="6C02F038" w14:textId="203F16B0" w:rsidR="00F06993" w:rsidRPr="00F06993" w:rsidRDefault="00F06993">
          <w:pPr>
            <w:pStyle w:val="TOC1"/>
            <w:tabs>
              <w:tab w:val="right" w:leader="dot" w:pos="9350"/>
            </w:tabs>
            <w:rPr>
              <w:rFonts w:ascii="Century Schoolbook" w:eastAsiaTheme="minorEastAsia" w:hAnsi="Century Schoolbook"/>
              <w:noProof/>
            </w:rPr>
          </w:pPr>
          <w:hyperlink w:anchor="_Toc201769350" w:history="1">
            <w:r w:rsidRPr="00F06993">
              <w:rPr>
                <w:rStyle w:val="Hyperlink"/>
                <w:rFonts w:ascii="Century Schoolbook" w:hAnsi="Century Schoolbook"/>
                <w:noProof/>
              </w:rPr>
              <w:t>DIDS By the Numbers</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_Toc201769350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5</w:t>
            </w:r>
            <w:r w:rsidRPr="00F06993">
              <w:rPr>
                <w:rFonts w:ascii="Century Schoolbook" w:hAnsi="Century Schoolbook"/>
                <w:noProof/>
                <w:webHidden/>
              </w:rPr>
              <w:fldChar w:fldCharType="end"/>
            </w:r>
          </w:hyperlink>
        </w:p>
        <w:p w14:paraId="47C69465" w14:textId="19088615" w:rsidR="00F06993" w:rsidRPr="00F06993" w:rsidRDefault="00F06993">
          <w:pPr>
            <w:pStyle w:val="TOC1"/>
            <w:tabs>
              <w:tab w:val="right" w:leader="dot" w:pos="9350"/>
            </w:tabs>
            <w:rPr>
              <w:rFonts w:ascii="Century Schoolbook" w:eastAsiaTheme="minorEastAsia" w:hAnsi="Century Schoolbook"/>
              <w:noProof/>
            </w:rPr>
          </w:pPr>
          <w:hyperlink w:anchor="_Toc201769351" w:history="1">
            <w:r w:rsidRPr="00F06993">
              <w:rPr>
                <w:rStyle w:val="Hyperlink"/>
                <w:rFonts w:ascii="Century Schoolbook" w:hAnsi="Century Schoolbook"/>
                <w:i/>
                <w:iCs/>
                <w:noProof/>
              </w:rPr>
              <w:t>Davis</w:t>
            </w:r>
            <w:r w:rsidRPr="00F06993">
              <w:rPr>
                <w:rStyle w:val="Hyperlink"/>
                <w:rFonts w:ascii="Century Schoolbook" w:hAnsi="Century Schoolbook"/>
                <w:noProof/>
              </w:rPr>
              <w:t xml:space="preserve"> Consent Judgment Compliance</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_Toc201769351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6</w:t>
            </w:r>
            <w:r w:rsidRPr="00F06993">
              <w:rPr>
                <w:rFonts w:ascii="Century Schoolbook" w:hAnsi="Century Schoolbook"/>
                <w:noProof/>
                <w:webHidden/>
              </w:rPr>
              <w:fldChar w:fldCharType="end"/>
            </w:r>
          </w:hyperlink>
        </w:p>
        <w:p w14:paraId="2837D0DE" w14:textId="360F8F56" w:rsidR="00F06993" w:rsidRPr="00F06993" w:rsidRDefault="00F06993">
          <w:pPr>
            <w:pStyle w:val="TOC1"/>
            <w:tabs>
              <w:tab w:val="right" w:leader="dot" w:pos="9350"/>
            </w:tabs>
            <w:rPr>
              <w:rFonts w:ascii="Century Schoolbook" w:eastAsiaTheme="minorEastAsia" w:hAnsi="Century Schoolbook"/>
              <w:noProof/>
            </w:rPr>
          </w:pPr>
          <w:hyperlink w:anchor="_Toc201769352" w:history="1">
            <w:r w:rsidRPr="00F06993">
              <w:rPr>
                <w:rStyle w:val="Hyperlink"/>
                <w:rFonts w:ascii="Century Schoolbook" w:hAnsi="Century Schoolbook"/>
                <w:noProof/>
              </w:rPr>
              <w:t>Nevada State Public Defender’s Office</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_Toc201769352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7</w:t>
            </w:r>
            <w:r w:rsidRPr="00F06993">
              <w:rPr>
                <w:rFonts w:ascii="Century Schoolbook" w:hAnsi="Century Schoolbook"/>
                <w:noProof/>
                <w:webHidden/>
              </w:rPr>
              <w:fldChar w:fldCharType="end"/>
            </w:r>
          </w:hyperlink>
        </w:p>
        <w:p w14:paraId="005496E4" w14:textId="63703C40" w:rsidR="00F06993" w:rsidRPr="00F06993" w:rsidRDefault="00F06993">
          <w:pPr>
            <w:pStyle w:val="TOC1"/>
            <w:tabs>
              <w:tab w:val="right" w:leader="dot" w:pos="9350"/>
            </w:tabs>
            <w:rPr>
              <w:rFonts w:ascii="Century Schoolbook" w:eastAsiaTheme="minorEastAsia" w:hAnsi="Century Schoolbook"/>
              <w:noProof/>
            </w:rPr>
          </w:pPr>
          <w:hyperlink w:anchor="_Toc201769353" w:history="1">
            <w:r w:rsidRPr="00F06993">
              <w:rPr>
                <w:rStyle w:val="Hyperlink"/>
                <w:rFonts w:ascii="Century Schoolbook" w:hAnsi="Century Schoolbook"/>
                <w:noProof/>
              </w:rPr>
              <w:t>Attorney Oversight: Mountains of Data</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_Toc201769353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8</w:t>
            </w:r>
            <w:r w:rsidRPr="00F06993">
              <w:rPr>
                <w:rFonts w:ascii="Century Schoolbook" w:hAnsi="Century Schoolbook"/>
                <w:noProof/>
                <w:webHidden/>
              </w:rPr>
              <w:fldChar w:fldCharType="end"/>
            </w:r>
          </w:hyperlink>
        </w:p>
        <w:p w14:paraId="482D4BD2" w14:textId="7CA75329" w:rsidR="00F06993" w:rsidRPr="00F06993" w:rsidRDefault="00F06993">
          <w:pPr>
            <w:pStyle w:val="TOC1"/>
            <w:tabs>
              <w:tab w:val="right" w:leader="dot" w:pos="9350"/>
            </w:tabs>
            <w:rPr>
              <w:rFonts w:ascii="Century Schoolbook" w:eastAsiaTheme="minorEastAsia" w:hAnsi="Century Schoolbook"/>
              <w:noProof/>
            </w:rPr>
          </w:pPr>
          <w:hyperlink w:anchor="_Toc201769354" w:history="1">
            <w:r w:rsidRPr="00F06993">
              <w:rPr>
                <w:rStyle w:val="Hyperlink"/>
                <w:rFonts w:ascii="Century Schoolbook" w:hAnsi="Century Schoolbook"/>
                <w:noProof/>
              </w:rPr>
              <w:t>Training: New Ideas and New Opportunities</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_Toc201769354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8</w:t>
            </w:r>
            <w:r w:rsidRPr="00F06993">
              <w:rPr>
                <w:rFonts w:ascii="Century Schoolbook" w:hAnsi="Century Schoolbook"/>
                <w:noProof/>
                <w:webHidden/>
              </w:rPr>
              <w:fldChar w:fldCharType="end"/>
            </w:r>
          </w:hyperlink>
        </w:p>
        <w:p w14:paraId="0CC28A77" w14:textId="1A500DAE" w:rsidR="00F06993" w:rsidRPr="00F06993" w:rsidRDefault="00F06993">
          <w:pPr>
            <w:pStyle w:val="TOC1"/>
            <w:tabs>
              <w:tab w:val="right" w:leader="dot" w:pos="9350"/>
            </w:tabs>
            <w:rPr>
              <w:rFonts w:ascii="Century Schoolbook" w:eastAsiaTheme="minorEastAsia" w:hAnsi="Century Schoolbook"/>
              <w:noProof/>
            </w:rPr>
          </w:pPr>
          <w:hyperlink w:anchor="_Toc201769355" w:history="1">
            <w:r w:rsidRPr="00F06993">
              <w:rPr>
                <w:rStyle w:val="Hyperlink"/>
                <w:rFonts w:ascii="Century Schoolbook" w:hAnsi="Century Schoolbook"/>
                <w:noProof/>
              </w:rPr>
              <w:t>2025 Legislative Update</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_Toc201769355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10</w:t>
            </w:r>
            <w:r w:rsidRPr="00F06993">
              <w:rPr>
                <w:rFonts w:ascii="Century Schoolbook" w:hAnsi="Century Schoolbook"/>
                <w:noProof/>
                <w:webHidden/>
              </w:rPr>
              <w:fldChar w:fldCharType="end"/>
            </w:r>
          </w:hyperlink>
        </w:p>
        <w:p w14:paraId="1E46AA8F" w14:textId="31B2167A" w:rsidR="00F06993" w:rsidRPr="00F06993" w:rsidRDefault="00F06993">
          <w:pPr>
            <w:pStyle w:val="TOC2"/>
            <w:tabs>
              <w:tab w:val="right" w:leader="dot" w:pos="9350"/>
            </w:tabs>
            <w:rPr>
              <w:rFonts w:ascii="Century Schoolbook" w:eastAsiaTheme="minorEastAsia" w:hAnsi="Century Schoolbook"/>
              <w:noProof/>
            </w:rPr>
          </w:pPr>
          <w:hyperlink w:anchor="_Toc201769356" w:history="1">
            <w:r w:rsidRPr="00F06993">
              <w:rPr>
                <w:rStyle w:val="Hyperlink"/>
                <w:rFonts w:ascii="Century Schoolbook" w:hAnsi="Century Schoolbook"/>
                <w:noProof/>
              </w:rPr>
              <w:t>SB407</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_Toc201769356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10</w:t>
            </w:r>
            <w:r w:rsidRPr="00F06993">
              <w:rPr>
                <w:rFonts w:ascii="Century Schoolbook" w:hAnsi="Century Schoolbook"/>
                <w:noProof/>
                <w:webHidden/>
              </w:rPr>
              <w:fldChar w:fldCharType="end"/>
            </w:r>
          </w:hyperlink>
        </w:p>
        <w:p w14:paraId="1809F3B0" w14:textId="7D433947" w:rsidR="00F06993" w:rsidRPr="00F06993" w:rsidRDefault="00F06993">
          <w:pPr>
            <w:pStyle w:val="TOC2"/>
            <w:tabs>
              <w:tab w:val="right" w:leader="dot" w:pos="9350"/>
            </w:tabs>
            <w:rPr>
              <w:rFonts w:ascii="Century Schoolbook" w:eastAsiaTheme="minorEastAsia" w:hAnsi="Century Schoolbook"/>
              <w:noProof/>
            </w:rPr>
          </w:pPr>
          <w:hyperlink w:anchor="_Toc201769357" w:history="1">
            <w:r w:rsidRPr="00F06993">
              <w:rPr>
                <w:rStyle w:val="Hyperlink"/>
                <w:rFonts w:ascii="Century Schoolbook" w:hAnsi="Century Schoolbook"/>
                <w:noProof/>
              </w:rPr>
              <w:t>AB541</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_Toc201769357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10</w:t>
            </w:r>
            <w:r w:rsidRPr="00F06993">
              <w:rPr>
                <w:rFonts w:ascii="Century Schoolbook" w:hAnsi="Century Schoolbook"/>
                <w:noProof/>
                <w:webHidden/>
              </w:rPr>
              <w:fldChar w:fldCharType="end"/>
            </w:r>
          </w:hyperlink>
        </w:p>
        <w:p w14:paraId="50D66235" w14:textId="783F5024" w:rsidR="00F06993" w:rsidRPr="00F06993" w:rsidRDefault="00F06993">
          <w:pPr>
            <w:pStyle w:val="TOC1"/>
            <w:tabs>
              <w:tab w:val="right" w:leader="dot" w:pos="9350"/>
            </w:tabs>
            <w:rPr>
              <w:rFonts w:ascii="Century Schoolbook" w:eastAsiaTheme="minorEastAsia" w:hAnsi="Century Schoolbook"/>
              <w:noProof/>
            </w:rPr>
          </w:pPr>
          <w:hyperlink w:anchor="_Toc201769358" w:history="1">
            <w:r w:rsidRPr="00F06993">
              <w:rPr>
                <w:rStyle w:val="Hyperlink"/>
                <w:rFonts w:ascii="Century Schoolbook" w:hAnsi="Century Schoolbook"/>
                <w:noProof/>
              </w:rPr>
              <w:t>Fiscal Year 2024 Maximum Contribution Amounts and Reimbursements</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_Toc201769358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11</w:t>
            </w:r>
            <w:r w:rsidRPr="00F06993">
              <w:rPr>
                <w:rFonts w:ascii="Century Schoolbook" w:hAnsi="Century Schoolbook"/>
                <w:noProof/>
                <w:webHidden/>
              </w:rPr>
              <w:fldChar w:fldCharType="end"/>
            </w:r>
          </w:hyperlink>
        </w:p>
        <w:p w14:paraId="4B8258BB" w14:textId="01035A15" w:rsidR="00F06993" w:rsidRPr="00F06993" w:rsidRDefault="00F06993">
          <w:pPr>
            <w:pStyle w:val="TOC1"/>
            <w:tabs>
              <w:tab w:val="right" w:leader="dot" w:pos="9350"/>
            </w:tabs>
            <w:rPr>
              <w:rFonts w:ascii="Century Schoolbook" w:eastAsiaTheme="minorEastAsia" w:hAnsi="Century Schoolbook"/>
              <w:noProof/>
            </w:rPr>
          </w:pPr>
          <w:hyperlink w:anchor="_Toc201769359" w:history="1">
            <w:r w:rsidRPr="00F06993">
              <w:rPr>
                <w:rStyle w:val="Hyperlink"/>
                <w:rFonts w:ascii="Century Schoolbook" w:hAnsi="Century Schoolbook"/>
                <w:noProof/>
              </w:rPr>
              <w:t>Law Student Supervision Operation (LASSO)</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_Toc201769359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12</w:t>
            </w:r>
            <w:r w:rsidRPr="00F06993">
              <w:rPr>
                <w:rFonts w:ascii="Century Schoolbook" w:hAnsi="Century Schoolbook"/>
                <w:noProof/>
                <w:webHidden/>
              </w:rPr>
              <w:fldChar w:fldCharType="end"/>
            </w:r>
          </w:hyperlink>
        </w:p>
        <w:p w14:paraId="6292D0BA" w14:textId="325C1C2B" w:rsidR="00F06993" w:rsidRPr="00F06993" w:rsidRDefault="00F06993">
          <w:pPr>
            <w:pStyle w:val="TOC1"/>
            <w:tabs>
              <w:tab w:val="right" w:leader="dot" w:pos="9350"/>
            </w:tabs>
            <w:rPr>
              <w:rFonts w:ascii="Century Schoolbook" w:eastAsiaTheme="minorEastAsia" w:hAnsi="Century Schoolbook"/>
              <w:noProof/>
            </w:rPr>
          </w:pPr>
          <w:hyperlink w:anchor="_Toc201769360" w:history="1">
            <w:r w:rsidRPr="00F06993">
              <w:rPr>
                <w:rStyle w:val="Hyperlink"/>
                <w:rFonts w:ascii="Century Schoolbook" w:hAnsi="Century Schoolbook"/>
                <w:noProof/>
              </w:rPr>
              <w:t>New Projects: Improving Service</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_Toc201769360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12</w:t>
            </w:r>
            <w:r w:rsidRPr="00F06993">
              <w:rPr>
                <w:rFonts w:ascii="Century Schoolbook" w:hAnsi="Century Schoolbook"/>
                <w:noProof/>
                <w:webHidden/>
              </w:rPr>
              <w:fldChar w:fldCharType="end"/>
            </w:r>
          </w:hyperlink>
        </w:p>
        <w:p w14:paraId="355E64C2" w14:textId="3B01D568" w:rsidR="00F06993" w:rsidRPr="00F06993" w:rsidRDefault="00F06993">
          <w:pPr>
            <w:pStyle w:val="TOC1"/>
            <w:tabs>
              <w:tab w:val="right" w:leader="dot" w:pos="9350"/>
            </w:tabs>
            <w:rPr>
              <w:rFonts w:ascii="Century Schoolbook" w:eastAsiaTheme="minorEastAsia" w:hAnsi="Century Schoolbook"/>
              <w:noProof/>
            </w:rPr>
          </w:pPr>
          <w:hyperlink w:anchor="_Toc201769361" w:history="1">
            <w:r w:rsidRPr="00F06993">
              <w:rPr>
                <w:rStyle w:val="Hyperlink"/>
                <w:rFonts w:ascii="Century Schoolbook" w:hAnsi="Century Schoolbook"/>
                <w:noProof/>
              </w:rPr>
              <w:t>Annual State and County Data:</w:t>
            </w:r>
            <w:r w:rsidRPr="00F06993">
              <w:rPr>
                <w:rFonts w:ascii="Century Schoolbook" w:hAnsi="Century Schoolbook"/>
                <w:noProof/>
                <w:webHidden/>
              </w:rPr>
              <w:tab/>
            </w:r>
            <w:r w:rsidRPr="00F06993">
              <w:rPr>
                <w:rFonts w:ascii="Century Schoolbook" w:hAnsi="Century Schoolbook"/>
                <w:noProof/>
                <w:webHidden/>
              </w:rPr>
              <w:fldChar w:fldCharType="begin"/>
            </w:r>
            <w:r w:rsidRPr="00F06993">
              <w:rPr>
                <w:rFonts w:ascii="Century Schoolbook" w:hAnsi="Century Schoolbook"/>
                <w:noProof/>
                <w:webHidden/>
              </w:rPr>
              <w:instrText xml:space="preserve"> PAGEREF _Toc201769361 \h </w:instrText>
            </w:r>
            <w:r w:rsidRPr="00F06993">
              <w:rPr>
                <w:rFonts w:ascii="Century Schoolbook" w:hAnsi="Century Schoolbook"/>
                <w:noProof/>
                <w:webHidden/>
              </w:rPr>
            </w:r>
            <w:r w:rsidRPr="00F06993">
              <w:rPr>
                <w:rFonts w:ascii="Century Schoolbook" w:hAnsi="Century Schoolbook"/>
                <w:noProof/>
                <w:webHidden/>
              </w:rPr>
              <w:fldChar w:fldCharType="separate"/>
            </w:r>
            <w:r w:rsidRPr="00F06993">
              <w:rPr>
                <w:rFonts w:ascii="Century Schoolbook" w:hAnsi="Century Schoolbook"/>
                <w:noProof/>
                <w:webHidden/>
              </w:rPr>
              <w:t>15</w:t>
            </w:r>
            <w:r w:rsidRPr="00F06993">
              <w:rPr>
                <w:rFonts w:ascii="Century Schoolbook" w:hAnsi="Century Schoolbook"/>
                <w:noProof/>
                <w:webHidden/>
              </w:rPr>
              <w:fldChar w:fldCharType="end"/>
            </w:r>
          </w:hyperlink>
        </w:p>
        <w:p w14:paraId="20F00B75" w14:textId="014C439E" w:rsidR="00BE5062" w:rsidRPr="009E41DF" w:rsidRDefault="00BE5062">
          <w:pPr>
            <w:rPr>
              <w:rFonts w:ascii="Century Schoolbook" w:hAnsi="Century Schoolbook"/>
            </w:rPr>
          </w:pPr>
          <w:r w:rsidRPr="00F06993">
            <w:rPr>
              <w:rFonts w:ascii="Century Schoolbook" w:hAnsi="Century Schoolbook"/>
              <w:b/>
              <w:bCs/>
              <w:noProof/>
            </w:rPr>
            <w:fldChar w:fldCharType="end"/>
          </w:r>
        </w:p>
      </w:sdtContent>
    </w:sdt>
    <w:p w14:paraId="143A1F34" w14:textId="14CBD79F" w:rsidR="00366702" w:rsidRDefault="00366702">
      <w:pPr>
        <w:rPr>
          <w:rFonts w:asciiTheme="majorHAnsi" w:eastAsiaTheme="majorEastAsia" w:hAnsiTheme="majorHAnsi" w:cstheme="majorBidi"/>
          <w:color w:val="0F4761" w:themeColor="accent1" w:themeShade="BF"/>
          <w:sz w:val="32"/>
          <w:szCs w:val="32"/>
        </w:rPr>
      </w:pPr>
      <w:r>
        <w:br w:type="page"/>
      </w:r>
    </w:p>
    <w:p w14:paraId="3550D3F2" w14:textId="77777777" w:rsidR="009E41DF" w:rsidRDefault="009E41DF" w:rsidP="00366702">
      <w:pPr>
        <w:pStyle w:val="DIDSHeading"/>
      </w:pPr>
    </w:p>
    <w:p w14:paraId="3CD962C9" w14:textId="77777777" w:rsidR="009E41DF" w:rsidRDefault="009E41DF" w:rsidP="009E41DF">
      <w:pPr>
        <w:pStyle w:val="Heading2"/>
      </w:pPr>
    </w:p>
    <w:p w14:paraId="39EFF2A2" w14:textId="77777777" w:rsidR="009E41DF" w:rsidRDefault="009E41DF" w:rsidP="009E41DF"/>
    <w:p w14:paraId="3602618A" w14:textId="77777777" w:rsidR="009E41DF" w:rsidRPr="009E41DF" w:rsidRDefault="009E41DF" w:rsidP="009E41DF"/>
    <w:p w14:paraId="6B1BBE68" w14:textId="4C8F6CE1" w:rsidR="00366702" w:rsidRDefault="00366702" w:rsidP="00366702">
      <w:pPr>
        <w:pStyle w:val="DIDSHeading"/>
      </w:pPr>
      <w:bookmarkStart w:id="1" w:name="_Toc201769346"/>
      <w:r>
        <w:t>Vision</w:t>
      </w:r>
      <w:bookmarkEnd w:id="1"/>
    </w:p>
    <w:p w14:paraId="276B9949" w14:textId="7798358E" w:rsidR="00366702" w:rsidRDefault="00366702" w:rsidP="00DA4D6B">
      <w:pPr>
        <w:pStyle w:val="DIDSParagraph"/>
        <w:jc w:val="center"/>
      </w:pPr>
      <w:r>
        <w:t>Justice. Equity. Support.</w:t>
      </w:r>
    </w:p>
    <w:p w14:paraId="54E7D131" w14:textId="2450E473" w:rsidR="00366702" w:rsidRDefault="00366702" w:rsidP="00366702">
      <w:pPr>
        <w:pStyle w:val="DIDSHeading"/>
      </w:pPr>
      <w:bookmarkStart w:id="2" w:name="_Toc201769347"/>
      <w:r>
        <w:t>Mission</w:t>
      </w:r>
      <w:bookmarkEnd w:id="2"/>
    </w:p>
    <w:p w14:paraId="31038A43" w14:textId="5BC8F634" w:rsidR="00366702" w:rsidRDefault="00366702" w:rsidP="003E045A">
      <w:pPr>
        <w:pStyle w:val="DIDSParagraph"/>
      </w:pPr>
      <w:r w:rsidRPr="00366702">
        <w:t>The mission of the Nevada Department of Indigent Defense Services (DIDS) is to assist Nevada counties in developing quality, equitable, and sustainable indigent defense systems that strengthen local communities and meet or exceed the state and federal constitutional guarantees that protect each of us.</w:t>
      </w:r>
    </w:p>
    <w:p w14:paraId="48779F94" w14:textId="7CB9B262" w:rsidR="00366702" w:rsidRDefault="00366702" w:rsidP="00366702">
      <w:pPr>
        <w:pStyle w:val="DIDSHeading"/>
      </w:pPr>
      <w:bookmarkStart w:id="3" w:name="_Toc201769348"/>
      <w:r>
        <w:t>Goals</w:t>
      </w:r>
      <w:bookmarkEnd w:id="3"/>
    </w:p>
    <w:p w14:paraId="2CC35ACB" w14:textId="7BA6A33F" w:rsidR="00366702" w:rsidRPr="00235D1A" w:rsidRDefault="00366702" w:rsidP="003E045A">
      <w:pPr>
        <w:pStyle w:val="DIDSParagraph"/>
      </w:pPr>
      <w:r w:rsidRPr="00366702">
        <w:t>The goals of DIDS are to build a strong and resilient statewide network of effective indigent defense providers and to support them with regular education, training, and other defense-specific resources, including experts, investigators, social workers, and other valuable tools. DIDS also seeks to create a centralized resource center that provides holistic defense services and complex litigation assistance. DIDS is also working to create a pipeline program through Boyd School of Law at UNLV, to bring more qualified indigent defense attorneys into the rural areas.</w:t>
      </w:r>
    </w:p>
    <w:p w14:paraId="23C6BA7B" w14:textId="77777777" w:rsidR="00366702" w:rsidRDefault="00366702">
      <w:pPr>
        <w:rPr>
          <w:rFonts w:ascii="Century Schoolbook" w:hAnsi="Century Schoolbook"/>
          <w:color w:val="153D63" w:themeColor="text2" w:themeTint="E6"/>
        </w:rPr>
      </w:pPr>
      <w:r>
        <w:br w:type="page"/>
      </w:r>
    </w:p>
    <w:p w14:paraId="2BF95E2F" w14:textId="2D39A0F4" w:rsidR="00366702" w:rsidRDefault="00E451F5" w:rsidP="00366702">
      <w:pPr>
        <w:pStyle w:val="DIDSHeading"/>
      </w:pPr>
      <w:bookmarkStart w:id="4" w:name="_Toc201769349"/>
      <w:r>
        <w:lastRenderedPageBreak/>
        <w:t xml:space="preserve">Introduction and </w:t>
      </w:r>
      <w:r w:rsidR="001268E0">
        <w:t>Executive Summary</w:t>
      </w:r>
      <w:bookmarkEnd w:id="4"/>
    </w:p>
    <w:p w14:paraId="06CCBDC0" w14:textId="77777777" w:rsidR="002C1F9B" w:rsidRDefault="002C1F9B" w:rsidP="003E045A">
      <w:pPr>
        <w:pStyle w:val="DIDSParagraph"/>
        <w:jc w:val="center"/>
      </w:pPr>
    </w:p>
    <w:p w14:paraId="65CA1FA7" w14:textId="366CCBA1" w:rsidR="00972FEF" w:rsidRDefault="00972FEF" w:rsidP="003E045A">
      <w:pPr>
        <w:pStyle w:val="DIDSParagraph"/>
        <w:jc w:val="center"/>
      </w:pPr>
      <w:r>
        <w:t>“</w:t>
      </w:r>
      <w:r w:rsidR="00235D1A">
        <w:t xml:space="preserve">Life is </w:t>
      </w:r>
      <w:r>
        <w:t xml:space="preserve">made up of </w:t>
      </w:r>
      <w:r w:rsidR="00235D1A">
        <w:t>meetings and partings.”</w:t>
      </w:r>
      <w:r>
        <w:rPr>
          <w:rStyle w:val="FootnoteReference"/>
        </w:rPr>
        <w:footnoteReference w:id="1"/>
      </w:r>
    </w:p>
    <w:p w14:paraId="78F30B76" w14:textId="5F05CBAA" w:rsidR="001268E0" w:rsidRDefault="00235D1A" w:rsidP="003E045A">
      <w:pPr>
        <w:pStyle w:val="DIDSParagraph"/>
      </w:pPr>
      <w:r>
        <w:t xml:space="preserve">Since the publication of the </w:t>
      </w:r>
      <w:r w:rsidR="6D5286D0">
        <w:t xml:space="preserve">last report of </w:t>
      </w:r>
      <w:r>
        <w:t>Department</w:t>
      </w:r>
      <w:r w:rsidR="0075110B">
        <w:t xml:space="preserve"> of Indigent Defense</w:t>
      </w:r>
      <w:r w:rsidR="291BD054">
        <w:t xml:space="preserve"> Service</w:t>
      </w:r>
      <w:r>
        <w:t>s</w:t>
      </w:r>
      <w:r w:rsidR="0075110B">
        <w:t xml:space="preserve"> (DIDS)</w:t>
      </w:r>
      <w:r>
        <w:t xml:space="preserve">, DIDS and </w:t>
      </w:r>
      <w:r w:rsidR="0075110B">
        <w:t>the Board on Indigent Defense Services (BIDS)</w:t>
      </w:r>
      <w:r>
        <w:t xml:space="preserve"> have experienced the departure of the first Executive Director </w:t>
      </w:r>
      <w:r w:rsidR="10738808">
        <w:t>of t</w:t>
      </w:r>
      <w:r w:rsidR="00153ADB">
        <w:t>h</w:t>
      </w:r>
      <w:r w:rsidR="10738808">
        <w:t xml:space="preserve">e Department, </w:t>
      </w:r>
      <w:r>
        <w:t>the first Executive Assistant</w:t>
      </w:r>
      <w:r w:rsidR="00243ED9" w:rsidRPr="00243ED9">
        <w:t xml:space="preserve"> </w:t>
      </w:r>
      <w:r w:rsidR="00243ED9">
        <w:t>of the Department,</w:t>
      </w:r>
      <w:r>
        <w:t xml:space="preserve"> and </w:t>
      </w:r>
      <w:r w:rsidR="00511A40">
        <w:t>two</w:t>
      </w:r>
      <w:r>
        <w:t xml:space="preserve"> members of the Board who</w:t>
      </w:r>
      <w:r w:rsidR="003E2D60">
        <w:t xml:space="preserve"> served</w:t>
      </w:r>
      <w:r>
        <w:t xml:space="preserve"> since </w:t>
      </w:r>
      <w:r w:rsidR="00243ED9">
        <w:t>its inception</w:t>
      </w:r>
      <w:r>
        <w:t>. These institutional heavyweights will be sorely missed</w:t>
      </w:r>
      <w:r w:rsidR="00972FEF">
        <w:t>—</w:t>
      </w:r>
      <w:r>
        <w:t xml:space="preserve">their zealous dedication to public defense and </w:t>
      </w:r>
      <w:r w:rsidR="001D3625">
        <w:t xml:space="preserve">advocacy on behalf of the indigent defendants </w:t>
      </w:r>
      <w:r w:rsidR="4DFF05F0">
        <w:t xml:space="preserve">ultimately </w:t>
      </w:r>
      <w:r w:rsidR="001D3625">
        <w:t xml:space="preserve">served </w:t>
      </w:r>
      <w:r w:rsidR="00972FEF">
        <w:t>by the Department will be difficult, if not impossible, to match. For their contributions, we will be forever grateful.</w:t>
      </w:r>
    </w:p>
    <w:p w14:paraId="14DBB37E" w14:textId="6E2111B8" w:rsidR="00972FEF" w:rsidRDefault="001F44E5" w:rsidP="003E045A">
      <w:pPr>
        <w:pStyle w:val="DIDSParagraph"/>
      </w:pPr>
      <w:r>
        <w:t xml:space="preserve">Marcie Ryba, Cynthia Atanazio, Laura Fitzsimmons, </w:t>
      </w:r>
      <w:r w:rsidR="00511A40">
        <w:t>and Harriet Cummings have all left an indelible mark on the Department.</w:t>
      </w:r>
    </w:p>
    <w:p w14:paraId="386DAAB6" w14:textId="75EA85A3" w:rsidR="00E451F5" w:rsidRDefault="00EB07C6" w:rsidP="003E045A">
      <w:pPr>
        <w:pStyle w:val="DIDSParagraph"/>
      </w:pPr>
      <w:r>
        <w:t xml:space="preserve">During the Legislative Session, Bet Torres-Perez and Ashley Torres took temporary positions with the Legislature, </w:t>
      </w:r>
      <w:r w:rsidR="00675155">
        <w:t xml:space="preserve">and the Department was fortunate to be able to hire some </w:t>
      </w:r>
      <w:r w:rsidR="00122CD2">
        <w:t xml:space="preserve">excellent </w:t>
      </w:r>
      <w:r w:rsidR="00675155">
        <w:t xml:space="preserve">long-term temporary staff to </w:t>
      </w:r>
      <w:r w:rsidR="00122CD2">
        <w:t>meet the Department’s</w:t>
      </w:r>
      <w:r w:rsidR="00675155">
        <w:t xml:space="preserve"> day-to-day </w:t>
      </w:r>
      <w:r w:rsidR="00122CD2">
        <w:t>need</w:t>
      </w:r>
      <w:r w:rsidR="00675155">
        <w:t>s.</w:t>
      </w:r>
      <w:r w:rsidR="00E451F5">
        <w:t xml:space="preserve"> We </w:t>
      </w:r>
      <w:r w:rsidR="00E33C30">
        <w:t xml:space="preserve">are very grateful for the work done by Ashlynn Chevalier, Rachel </w:t>
      </w:r>
      <w:r w:rsidR="00AF795A">
        <w:t>Maiello, and Casey Popovich for their work over nearly 8 months with the Department.</w:t>
      </w:r>
    </w:p>
    <w:p w14:paraId="5606403A" w14:textId="5184762B" w:rsidR="003E045A" w:rsidRDefault="003E045A" w:rsidP="003E045A">
      <w:pPr>
        <w:pStyle w:val="DIDSParagraph"/>
      </w:pPr>
      <w:r>
        <w:t xml:space="preserve">In December of 2024, </w:t>
      </w:r>
      <w:r w:rsidR="00F26030">
        <w:t>I</w:t>
      </w:r>
      <w:r>
        <w:t xml:space="preserve"> was appointed as the Executive Director of the Department. To continue to carry out the Department’s mission, more good people were needed: </w:t>
      </w:r>
      <w:r w:rsidR="45F479D0">
        <w:t>j</w:t>
      </w:r>
      <w:r>
        <w:t>oining the Department as Deputy Director is Homa Sayyar</w:t>
      </w:r>
      <w:r w:rsidR="01510A0D">
        <w:t>,</w:t>
      </w:r>
      <w:r>
        <w:t xml:space="preserve"> and beginning in July 2025, Casey Popovich will join DIDS as Executive Assistant.</w:t>
      </w:r>
    </w:p>
    <w:p w14:paraId="69C4B733" w14:textId="7C8E08C7" w:rsidR="0075110B" w:rsidRDefault="0075110B" w:rsidP="002C1F9B">
      <w:pPr>
        <w:pStyle w:val="DIDSParagraph"/>
        <w:rPr>
          <w:rFonts w:eastAsiaTheme="majorEastAsia" w:cstheme="majorBidi"/>
          <w:b/>
          <w:color w:val="0F4761" w:themeColor="accent1" w:themeShade="BF"/>
          <w:sz w:val="40"/>
          <w:szCs w:val="40"/>
        </w:rPr>
      </w:pPr>
      <w:r>
        <w:t>Due to the changes in staffing, you will notice the structure</w:t>
      </w:r>
      <w:r w:rsidR="003E2D60">
        <w:t xml:space="preserve"> and presentation</w:t>
      </w:r>
      <w:r>
        <w:t xml:space="preserve"> of this year’s Annual Report </w:t>
      </w:r>
      <w:proofErr w:type="gramStart"/>
      <w:r>
        <w:t>is</w:t>
      </w:r>
      <w:proofErr w:type="gramEnd"/>
      <w:r>
        <w:t xml:space="preserve"> quite different. However, some of the hallmarks of past reports can still be found in these pages, including data and statistics, a </w:t>
      </w:r>
      <w:r>
        <w:rPr>
          <w:i/>
          <w:iCs/>
        </w:rPr>
        <w:t>Davis</w:t>
      </w:r>
      <w:r>
        <w:t xml:space="preserve"> compliance update,</w:t>
      </w:r>
      <w:r w:rsidR="00877249">
        <w:t xml:space="preserve"> the status of the State Public Defender’s Office,</w:t>
      </w:r>
      <w:r>
        <w:t xml:space="preserve"> </w:t>
      </w:r>
      <w:r w:rsidR="00877249">
        <w:t xml:space="preserve">an overview of attorney oversight, an overview of our training programming and funding, a review of some legislative changes from the 2025 Legislative Session, some noteworthy reimbursements made to counties, </w:t>
      </w:r>
      <w:r>
        <w:t xml:space="preserve">information about the </w:t>
      </w:r>
      <w:r w:rsidR="00877249">
        <w:t xml:space="preserve">successes of the </w:t>
      </w:r>
      <w:r>
        <w:t>LASSO program, some new projects currently underway, and some new goals for the Department.</w:t>
      </w:r>
      <w:r>
        <w:br w:type="page"/>
      </w:r>
    </w:p>
    <w:p w14:paraId="77E6E3E7" w14:textId="29F6526C" w:rsidR="001268E0" w:rsidRDefault="001268E0" w:rsidP="001268E0">
      <w:pPr>
        <w:pStyle w:val="DIDSHeading"/>
      </w:pPr>
      <w:bookmarkStart w:id="5" w:name="_Toc201769350"/>
      <w:r>
        <w:lastRenderedPageBreak/>
        <w:t>DIDS By the Numbers</w:t>
      </w:r>
      <w:bookmarkEnd w:id="5"/>
    </w:p>
    <w:p w14:paraId="1A9DE527" w14:textId="77777777" w:rsidR="002C1F9B" w:rsidRDefault="002C1F9B" w:rsidP="00EC601F">
      <w:pPr>
        <w:pStyle w:val="DIDSParagraph"/>
        <w:tabs>
          <w:tab w:val="left" w:pos="0"/>
          <w:tab w:val="left" w:pos="720"/>
          <w:tab w:val="right" w:leader="dot" w:pos="9360"/>
        </w:tabs>
      </w:pPr>
    </w:p>
    <w:p w14:paraId="5FCDBB9D" w14:textId="150DAC16" w:rsidR="00C149D0" w:rsidRPr="00235D1A" w:rsidRDefault="00C149D0" w:rsidP="0059371E">
      <w:pPr>
        <w:pStyle w:val="DIDSParagraph"/>
        <w:tabs>
          <w:tab w:val="left" w:pos="0"/>
          <w:tab w:val="right" w:leader="dot" w:pos="9360"/>
        </w:tabs>
      </w:pPr>
      <w:r w:rsidRPr="00235D1A">
        <w:t>Counties Reimbursed for FY 24</w:t>
      </w:r>
      <w:r>
        <w:tab/>
        <w:t>1</w:t>
      </w:r>
      <w:r w:rsidR="00AB1F45">
        <w:t>3</w:t>
      </w:r>
    </w:p>
    <w:p w14:paraId="78375570" w14:textId="04140A82" w:rsidR="00C149D0" w:rsidRDefault="00C149D0" w:rsidP="0059371E">
      <w:pPr>
        <w:pStyle w:val="DIDSParagraph"/>
        <w:tabs>
          <w:tab w:val="left" w:pos="0"/>
          <w:tab w:val="right" w:leader="dot" w:pos="9360"/>
        </w:tabs>
      </w:pPr>
      <w:r w:rsidRPr="00235D1A">
        <w:t>Total Amount of Reimbursements for FY 24</w:t>
      </w:r>
      <w:r>
        <w:tab/>
      </w:r>
      <w:r w:rsidR="009C7A06">
        <w:t>$6,339,213.56</w:t>
      </w:r>
    </w:p>
    <w:p w14:paraId="289B2061" w14:textId="62B9919C" w:rsidR="007E5FDC" w:rsidRDefault="007E5FDC" w:rsidP="0059371E">
      <w:pPr>
        <w:pStyle w:val="DIDSParagraph"/>
        <w:tabs>
          <w:tab w:val="left" w:pos="0"/>
          <w:tab w:val="right" w:leader="dot" w:pos="9360"/>
        </w:tabs>
      </w:pPr>
      <w:r w:rsidRPr="00235D1A">
        <w:t>DIDS Employees</w:t>
      </w:r>
      <w:r>
        <w:tab/>
        <w:t>9</w:t>
      </w:r>
    </w:p>
    <w:p w14:paraId="29DC2347" w14:textId="77F161C1" w:rsidR="001268E0" w:rsidRPr="00235D1A" w:rsidRDefault="001268E0" w:rsidP="0059371E">
      <w:pPr>
        <w:pStyle w:val="DIDSParagraph"/>
        <w:tabs>
          <w:tab w:val="left" w:pos="0"/>
          <w:tab w:val="right" w:leader="dot" w:pos="9360"/>
        </w:tabs>
      </w:pPr>
      <w:r w:rsidRPr="00235D1A">
        <w:t>Attorneys Qualified by the Department</w:t>
      </w:r>
      <w:r w:rsidRPr="00235D1A">
        <w:tab/>
      </w:r>
      <w:r w:rsidR="0019203B">
        <w:t>139</w:t>
      </w:r>
      <w:r w:rsidR="000A278E">
        <w:t>;</w:t>
      </w:r>
      <w:r w:rsidR="00920B6E">
        <w:t xml:space="preserve"> 30 new in 2024</w:t>
      </w:r>
    </w:p>
    <w:p w14:paraId="2BC07906" w14:textId="3BC21E51" w:rsidR="001268E0" w:rsidRDefault="001268E0" w:rsidP="0059371E">
      <w:pPr>
        <w:pStyle w:val="DIDSParagraph"/>
        <w:tabs>
          <w:tab w:val="left" w:pos="0"/>
          <w:tab w:val="right" w:leader="dot" w:pos="9360"/>
        </w:tabs>
      </w:pPr>
      <w:r w:rsidRPr="00235D1A">
        <w:t>Cases Assigned by the Department (Excluding Designees)</w:t>
      </w:r>
      <w:r w:rsidRPr="00235D1A">
        <w:tab/>
      </w:r>
      <w:r w:rsidR="00C33ED6">
        <w:t>2,453</w:t>
      </w:r>
    </w:p>
    <w:p w14:paraId="0172239E" w14:textId="53059DFC" w:rsidR="004262C8" w:rsidRDefault="004262C8" w:rsidP="0059371E">
      <w:pPr>
        <w:pStyle w:val="DIDSParagraph"/>
        <w:tabs>
          <w:tab w:val="left" w:pos="0"/>
          <w:tab w:val="right" w:leader="dot" w:pos="9360"/>
        </w:tabs>
      </w:pPr>
      <w:r>
        <w:t xml:space="preserve">CLE </w:t>
      </w:r>
      <w:r w:rsidR="00577E5C">
        <w:t>H</w:t>
      </w:r>
      <w:r w:rsidR="00833AE2">
        <w:t>our</w:t>
      </w:r>
      <w:r>
        <w:t xml:space="preserve">s </w:t>
      </w:r>
      <w:r w:rsidR="00577E5C">
        <w:t>P</w:t>
      </w:r>
      <w:r w:rsidR="00833AE2">
        <w:t xml:space="preserve">rovided to </w:t>
      </w:r>
      <w:r>
        <w:t>Attorneys</w:t>
      </w:r>
      <w:r w:rsidR="00BB3A8B">
        <w:tab/>
      </w:r>
      <w:r w:rsidR="003151DD">
        <w:t>1,267.5</w:t>
      </w:r>
    </w:p>
    <w:p w14:paraId="5D420AE2" w14:textId="12F6F7AB" w:rsidR="004262C8" w:rsidRDefault="004262C8" w:rsidP="0059371E">
      <w:pPr>
        <w:pStyle w:val="DIDSParagraph"/>
        <w:tabs>
          <w:tab w:val="left" w:pos="0"/>
          <w:tab w:val="right" w:leader="dot" w:pos="9360"/>
        </w:tabs>
      </w:pPr>
      <w:proofErr w:type="spellStart"/>
      <w:r>
        <w:t>JusticeText</w:t>
      </w:r>
      <w:proofErr w:type="spellEnd"/>
      <w:r>
        <w:t xml:space="preserve"> Licenses in use by Attorneys</w:t>
      </w:r>
      <w:r w:rsidR="00BB3A8B">
        <w:tab/>
      </w:r>
      <w:r w:rsidR="006A67BE">
        <w:t>70</w:t>
      </w:r>
    </w:p>
    <w:p w14:paraId="48589A83" w14:textId="28CD3EF4" w:rsidR="004262C8" w:rsidRPr="00235D1A" w:rsidRDefault="004262C8" w:rsidP="0059371E">
      <w:pPr>
        <w:pStyle w:val="DIDSParagraph"/>
        <w:tabs>
          <w:tab w:val="left" w:pos="0"/>
          <w:tab w:val="right" w:leader="dot" w:pos="9360"/>
        </w:tabs>
      </w:pPr>
      <w:r>
        <w:t xml:space="preserve">Attorneys </w:t>
      </w:r>
      <w:r w:rsidR="00CA64B1">
        <w:t>Financed to</w:t>
      </w:r>
      <w:r>
        <w:t xml:space="preserve"> Attend</w:t>
      </w:r>
      <w:r w:rsidR="00121E52">
        <w:t xml:space="preserve"> </w:t>
      </w:r>
      <w:r>
        <w:t>Trial Academ</w:t>
      </w:r>
      <w:r w:rsidR="00121E52">
        <w:t>ies</w:t>
      </w:r>
      <w:r w:rsidR="00BB3A8B">
        <w:tab/>
      </w:r>
      <w:r w:rsidR="00121E52">
        <w:t>9</w:t>
      </w:r>
    </w:p>
    <w:p w14:paraId="248EFD44" w14:textId="70123AAA" w:rsidR="001268E0" w:rsidRPr="00235D1A" w:rsidRDefault="001268E0" w:rsidP="0059371E">
      <w:pPr>
        <w:pStyle w:val="DIDSParagraph"/>
        <w:tabs>
          <w:tab w:val="left" w:pos="0"/>
          <w:tab w:val="right" w:leader="dot" w:pos="9360"/>
        </w:tabs>
      </w:pPr>
      <w:r w:rsidRPr="00235D1A">
        <w:t xml:space="preserve">Requests for Attorney Fees </w:t>
      </w:r>
      <w:r w:rsidR="00355A89">
        <w:t xml:space="preserve">and Expenses </w:t>
      </w:r>
      <w:r w:rsidRPr="00235D1A">
        <w:t>Reviewed</w:t>
      </w:r>
      <w:r w:rsidR="00BB3A8B">
        <w:tab/>
      </w:r>
      <w:r w:rsidR="00C503DD">
        <w:t>2,919</w:t>
      </w:r>
    </w:p>
    <w:p w14:paraId="3C8B0A2C" w14:textId="0BAD7499" w:rsidR="001268E0" w:rsidRPr="00235D1A" w:rsidRDefault="001268E0" w:rsidP="0059371E">
      <w:pPr>
        <w:pStyle w:val="DIDSParagraph"/>
        <w:tabs>
          <w:tab w:val="left" w:pos="0"/>
          <w:tab w:val="right" w:leader="dot" w:pos="9360"/>
        </w:tabs>
      </w:pPr>
      <w:r w:rsidRPr="00235D1A">
        <w:t>Oversight Contractors</w:t>
      </w:r>
      <w:r w:rsidR="00BB3A8B">
        <w:tab/>
        <w:t>3</w:t>
      </w:r>
    </w:p>
    <w:p w14:paraId="07C3C443" w14:textId="4DB20F89" w:rsidR="00286FE8" w:rsidRDefault="00286FE8" w:rsidP="0059371E">
      <w:pPr>
        <w:pStyle w:val="DIDSParagraph"/>
        <w:tabs>
          <w:tab w:val="left" w:pos="0"/>
          <w:tab w:val="right" w:leader="dot" w:pos="9360"/>
        </w:tabs>
      </w:pPr>
      <w:r>
        <w:t xml:space="preserve">Counties </w:t>
      </w:r>
      <w:r w:rsidR="00BD098A">
        <w:t>Visited to Conduct Oversight</w:t>
      </w:r>
      <w:r w:rsidR="00BD098A">
        <w:tab/>
        <w:t>15</w:t>
      </w:r>
    </w:p>
    <w:p w14:paraId="4FE76D6B" w14:textId="7B4A94BB" w:rsidR="001268E0" w:rsidRPr="00235D1A" w:rsidRDefault="001268E0" w:rsidP="0059371E">
      <w:pPr>
        <w:pStyle w:val="DIDSParagraph"/>
        <w:tabs>
          <w:tab w:val="left" w:pos="0"/>
          <w:tab w:val="right" w:leader="dot" w:pos="9360"/>
        </w:tabs>
      </w:pPr>
      <w:r w:rsidRPr="00235D1A">
        <w:t>Oversight Reports Lodged with the Department</w:t>
      </w:r>
      <w:r w:rsidR="00BB3A8B">
        <w:tab/>
        <w:t>Over 750</w:t>
      </w:r>
    </w:p>
    <w:p w14:paraId="1AC29D0C" w14:textId="1B1C1218" w:rsidR="00235D1A" w:rsidRPr="00A41224" w:rsidRDefault="001268E0" w:rsidP="00A41224">
      <w:pPr>
        <w:pStyle w:val="DIDSParagraph"/>
        <w:tabs>
          <w:tab w:val="left" w:pos="0"/>
          <w:tab w:val="right" w:leader="dot" w:pos="9360"/>
        </w:tabs>
      </w:pPr>
      <w:r w:rsidRPr="00235D1A">
        <w:t>Years Supporting the Sixth Amendment</w:t>
      </w:r>
      <w:r w:rsidR="00BB3A8B">
        <w:tab/>
      </w:r>
      <w:r w:rsidR="00235D1A" w:rsidRPr="00235D1A">
        <w:t>6</w:t>
      </w:r>
    </w:p>
    <w:p w14:paraId="2A58AE06" w14:textId="77777777" w:rsidR="00235D1A" w:rsidRDefault="00235D1A">
      <w:pPr>
        <w:rPr>
          <w:rFonts w:ascii="Century Schoolbook" w:hAnsi="Century Schoolbook"/>
        </w:rPr>
      </w:pPr>
      <w:r>
        <w:br w:type="page"/>
      </w:r>
    </w:p>
    <w:p w14:paraId="5AD008C7" w14:textId="31EA2B00" w:rsidR="00235D1A" w:rsidRDefault="004262C8" w:rsidP="004262C8">
      <w:pPr>
        <w:pStyle w:val="DIDSHeading"/>
      </w:pPr>
      <w:bookmarkStart w:id="6" w:name="_Toc201769351"/>
      <w:r>
        <w:rPr>
          <w:i/>
          <w:iCs/>
        </w:rPr>
        <w:lastRenderedPageBreak/>
        <w:t>Davis</w:t>
      </w:r>
      <w:r>
        <w:t xml:space="preserve"> Consent Judgment Compliance</w:t>
      </w:r>
      <w:bookmarkEnd w:id="6"/>
    </w:p>
    <w:p w14:paraId="53B46C0B" w14:textId="77777777" w:rsidR="002C1F9B" w:rsidRDefault="002C1F9B" w:rsidP="003E045A">
      <w:pPr>
        <w:pStyle w:val="DIDSParagraph"/>
      </w:pPr>
    </w:p>
    <w:p w14:paraId="7B168AE6" w14:textId="497CCC3F" w:rsidR="004262C8" w:rsidRDefault="004262C8" w:rsidP="003E045A">
      <w:pPr>
        <w:pStyle w:val="DIDSParagraph"/>
      </w:pPr>
      <w:r>
        <w:t xml:space="preserve">This year has presented the greatest challenges yet to </w:t>
      </w:r>
      <w:r>
        <w:rPr>
          <w:i/>
          <w:iCs/>
        </w:rPr>
        <w:t>Davis</w:t>
      </w:r>
      <w:r>
        <w:t xml:space="preserve"> judgment compliance. The Department has been pushing</w:t>
      </w:r>
      <w:r w:rsidR="00C95C33">
        <w:t>,</w:t>
      </w:r>
      <w:r>
        <w:t xml:space="preserve"> since before the release of the National Center for State Courts</w:t>
      </w:r>
      <w:r w:rsidR="008F0A8E">
        <w:t>’</w:t>
      </w:r>
      <w:r>
        <w:t xml:space="preserve"> (NCSC)</w:t>
      </w:r>
      <w:r w:rsidR="008F0A8E">
        <w:t xml:space="preserve"> study</w:t>
      </w:r>
      <w:r w:rsidR="00C95C33">
        <w:t>,</w:t>
      </w:r>
      <w:r>
        <w:t xml:space="preserve"> for Nevada’s rural counties to increase their public defender recruitment and retention efforts.</w:t>
      </w:r>
      <w:r w:rsidR="00C95C33">
        <w:t xml:space="preserve"> </w:t>
      </w:r>
      <w:r w:rsidR="002352D6">
        <w:t xml:space="preserve">Most Counties have stepped up to the challenge, </w:t>
      </w:r>
      <w:r w:rsidR="001517A3">
        <w:t>whether by creating new public defender positions</w:t>
      </w:r>
      <w:r w:rsidR="00B12B30">
        <w:t>, increasing contract pay, o</w:t>
      </w:r>
      <w:r w:rsidR="002742F1">
        <w:t>pting into State Public Defender representation, or</w:t>
      </w:r>
      <w:r w:rsidR="00B12B30">
        <w:t xml:space="preserve"> </w:t>
      </w:r>
      <w:r w:rsidR="00B54BA7">
        <w:t xml:space="preserve">by </w:t>
      </w:r>
      <w:r w:rsidR="002742F1">
        <w:t xml:space="preserve">overhauling their </w:t>
      </w:r>
      <w:r w:rsidR="000F0A50">
        <w:t>public defense structure to increase flexibility.</w:t>
      </w:r>
    </w:p>
    <w:p w14:paraId="07505DC9" w14:textId="3F047481" w:rsidR="00840598" w:rsidRPr="00A74948" w:rsidRDefault="002B13BF" w:rsidP="003E045A">
      <w:pPr>
        <w:pStyle w:val="DIDSParagraph"/>
      </w:pPr>
      <w:r>
        <w:t xml:space="preserve">As of the writing of this Report, the </w:t>
      </w:r>
      <w:r w:rsidR="008F0A8E">
        <w:t xml:space="preserve">following </w:t>
      </w:r>
      <w:r w:rsidR="00800494">
        <w:t>c</w:t>
      </w:r>
      <w:r w:rsidR="008F0A8E">
        <w:t xml:space="preserve">ounties </w:t>
      </w:r>
      <w:proofErr w:type="gramStart"/>
      <w:r w:rsidR="008F0A8E">
        <w:t>are in compliance with</w:t>
      </w:r>
      <w:proofErr w:type="gramEnd"/>
      <w:r w:rsidR="008F0A8E">
        <w:t xml:space="preserve"> the NCSC </w:t>
      </w:r>
      <w:r w:rsidR="001C233F">
        <w:t xml:space="preserve">study: Esmeralda, Eureka, Lander, Lincoln, </w:t>
      </w:r>
      <w:r w:rsidR="00840598">
        <w:t>Mineral</w:t>
      </w:r>
      <w:r w:rsidR="00D25436">
        <w:t xml:space="preserve">, and </w:t>
      </w:r>
      <w:r w:rsidR="00840598">
        <w:t>White Pine</w:t>
      </w:r>
      <w:r w:rsidR="00BD2883">
        <w:t>. This leaves Churchill, Douglas, Lyon, and Nye Counties with insufficient attorneys to meet the study’s recommendations</w:t>
      </w:r>
      <w:r w:rsidR="00A74948">
        <w:t xml:space="preserve"> </w:t>
      </w:r>
      <w:r w:rsidR="00C32E50">
        <w:t>and</w:t>
      </w:r>
      <w:r w:rsidR="00A74948">
        <w:t xml:space="preserve"> comply with the obligations of the </w:t>
      </w:r>
      <w:r w:rsidR="00A74948">
        <w:rPr>
          <w:i/>
          <w:iCs/>
        </w:rPr>
        <w:t>Davis</w:t>
      </w:r>
      <w:r w:rsidR="00A74948">
        <w:t xml:space="preserve"> Consent Judgment.</w:t>
      </w:r>
    </w:p>
    <w:p w14:paraId="1DA5BC57" w14:textId="7168E5D4" w:rsidR="000F0A50" w:rsidRDefault="000F0A50" w:rsidP="003E045A">
      <w:pPr>
        <w:pStyle w:val="DIDSParagraph"/>
      </w:pPr>
      <w:r>
        <w:t xml:space="preserve">However, there </w:t>
      </w:r>
      <w:proofErr w:type="gramStart"/>
      <w:r>
        <w:t>still remains</w:t>
      </w:r>
      <w:proofErr w:type="gramEnd"/>
      <w:r>
        <w:t xml:space="preserve"> a dearth of attorneys in, or willing to relocate to</w:t>
      </w:r>
      <w:r w:rsidR="000C765D">
        <w:t>,</w:t>
      </w:r>
      <w:r>
        <w:t xml:space="preserve"> rural Nevada.</w:t>
      </w:r>
      <w:r w:rsidR="005813B6">
        <w:t xml:space="preserve"> Douglas County</w:t>
      </w:r>
      <w:r w:rsidR="00DE5BB5">
        <w:t xml:space="preserve"> is </w:t>
      </w:r>
      <w:r w:rsidR="005813B6">
        <w:t>about an hour</w:t>
      </w:r>
      <w:r w:rsidR="00DE5BB5">
        <w:t>’s drive</w:t>
      </w:r>
      <w:r w:rsidR="005813B6">
        <w:t xml:space="preserve"> </w:t>
      </w:r>
      <w:r w:rsidR="00DE5BB5">
        <w:t>South</w:t>
      </w:r>
      <w:r w:rsidR="005813B6">
        <w:t xml:space="preserve"> </w:t>
      </w:r>
      <w:r w:rsidR="00DE5BB5">
        <w:t xml:space="preserve">of </w:t>
      </w:r>
      <w:r w:rsidR="005813B6">
        <w:t xml:space="preserve">Reno and </w:t>
      </w:r>
      <w:r w:rsidR="007661C3">
        <w:t>form</w:t>
      </w:r>
      <w:r w:rsidR="55C20D52">
        <w:t>s</w:t>
      </w:r>
      <w:r w:rsidR="0059371E">
        <w:t xml:space="preserve"> </w:t>
      </w:r>
      <w:r w:rsidR="007661C3">
        <w:t>a portion of the shoreline of</w:t>
      </w:r>
      <w:r w:rsidR="005813B6">
        <w:t xml:space="preserve"> Lake Tahoe</w:t>
      </w:r>
      <w:r w:rsidR="2FC87A4F">
        <w:t>.</w:t>
      </w:r>
      <w:r w:rsidR="007753CF">
        <w:t xml:space="preserve"> </w:t>
      </w:r>
      <w:r w:rsidR="23F5976A">
        <w:t xml:space="preserve">It </w:t>
      </w:r>
      <w:r w:rsidR="007753CF">
        <w:t>offers the highest contract rate in the State of over $260,000</w:t>
      </w:r>
      <w:r w:rsidR="00DE5BB5">
        <w:t xml:space="preserve"> yet</w:t>
      </w:r>
      <w:r w:rsidR="0078606E">
        <w:t xml:space="preserve"> still</w:t>
      </w:r>
      <w:r w:rsidR="007753CF">
        <w:t xml:space="preserve"> has difficult</w:t>
      </w:r>
      <w:r w:rsidR="0010743A">
        <w:t>ie</w:t>
      </w:r>
      <w:r w:rsidR="007753CF">
        <w:t xml:space="preserve">s </w:t>
      </w:r>
      <w:r w:rsidR="0010743A">
        <w:t>with</w:t>
      </w:r>
      <w:r w:rsidR="007661C3">
        <w:t xml:space="preserve"> attracting and retaining </w:t>
      </w:r>
      <w:proofErr w:type="gramStart"/>
      <w:r w:rsidR="0078606E">
        <w:t>sufficient numbers of</w:t>
      </w:r>
      <w:proofErr w:type="gramEnd"/>
      <w:r w:rsidR="0078606E">
        <w:t xml:space="preserve"> </w:t>
      </w:r>
      <w:r w:rsidR="007661C3">
        <w:t>qualified defense counsel.</w:t>
      </w:r>
    </w:p>
    <w:p w14:paraId="2EBB7FC7" w14:textId="2A1AF246" w:rsidR="00823305" w:rsidRDefault="00823305" w:rsidP="003E045A">
      <w:pPr>
        <w:pStyle w:val="DIDSParagraph"/>
      </w:pPr>
      <w:r>
        <w:t xml:space="preserve">While the Department has had </w:t>
      </w:r>
      <w:r w:rsidR="00B77123">
        <w:t xml:space="preserve">several successful placements of law school interns in </w:t>
      </w:r>
      <w:r w:rsidR="42D07B3D">
        <w:t>r</w:t>
      </w:r>
      <w:r w:rsidR="22848D9D">
        <w:t>ural</w:t>
      </w:r>
      <w:r w:rsidR="00B77123">
        <w:t xml:space="preserve"> Nevada, so far, only two have accepted employment</w:t>
      </w:r>
      <w:r w:rsidR="009B2B1A">
        <w:t>, both in Carson City.</w:t>
      </w:r>
      <w:r w:rsidR="00D80C1E">
        <w:t xml:space="preserve"> Interviews with law students tend to show that there are a few reasons for this</w:t>
      </w:r>
      <w:r w:rsidR="72321F13">
        <w:t>.</w:t>
      </w:r>
      <w:r w:rsidR="00471768">
        <w:t xml:space="preserve"> First, the private market is still accepting newly graduated attorneys at much higher rates of pay than the public sector offers</w:t>
      </w:r>
      <w:r w:rsidR="0044705F">
        <w:t xml:space="preserve">, substantial enough that several students indicated that </w:t>
      </w:r>
      <w:r w:rsidR="00213AC6">
        <w:t xml:space="preserve">they felt they could not turn down private firm offers </w:t>
      </w:r>
      <w:r w:rsidR="00665657">
        <w:t xml:space="preserve">they’d received, </w:t>
      </w:r>
      <w:r w:rsidR="00213AC6">
        <w:t>even if they wanted to go into public service</w:t>
      </w:r>
      <w:r w:rsidR="42C0A19F">
        <w:t>.</w:t>
      </w:r>
      <w:r w:rsidR="0044705F">
        <w:t xml:space="preserve"> Second, </w:t>
      </w:r>
      <w:r w:rsidR="5BA3FC6D">
        <w:t xml:space="preserve">they are </w:t>
      </w:r>
      <w:r w:rsidR="65CB7C9E">
        <w:t xml:space="preserve">concerned </w:t>
      </w:r>
      <w:r w:rsidR="355D0573">
        <w:t>that</w:t>
      </w:r>
      <w:r w:rsidR="0E42120D">
        <w:t xml:space="preserve"> </w:t>
      </w:r>
      <w:r w:rsidR="355D0573">
        <w:t>professional</w:t>
      </w:r>
      <w:r w:rsidR="00584B39">
        <w:t xml:space="preserve"> or personal success</w:t>
      </w:r>
      <w:r w:rsidR="00B024BC">
        <w:t xml:space="preserve"> or growth</w:t>
      </w:r>
      <w:r w:rsidR="00584B39">
        <w:t xml:space="preserve"> may be stymied by </w:t>
      </w:r>
      <w:r w:rsidR="00F12164">
        <w:t>taking positions in rural Nevada</w:t>
      </w:r>
      <w:r w:rsidR="4221CF16">
        <w:t>.</w:t>
      </w:r>
      <w:r w:rsidR="00F12164">
        <w:t xml:space="preserve"> Third, </w:t>
      </w:r>
      <w:r w:rsidR="00AD1FA2">
        <w:t xml:space="preserve">some of these </w:t>
      </w:r>
      <w:r w:rsidR="00C953A8">
        <w:t xml:space="preserve">students simply didn’t want to give up the urban </w:t>
      </w:r>
      <w:proofErr w:type="gramStart"/>
      <w:r w:rsidR="00C953A8">
        <w:t>environs</w:t>
      </w:r>
      <w:proofErr w:type="gramEnd"/>
      <w:r w:rsidR="00AD1FA2">
        <w:t xml:space="preserve"> and conveniences</w:t>
      </w:r>
      <w:r w:rsidR="00C953A8">
        <w:t>.</w:t>
      </w:r>
    </w:p>
    <w:p w14:paraId="58D85DC7" w14:textId="28A73641" w:rsidR="0072022E" w:rsidRDefault="00F63D28" w:rsidP="003E045A">
      <w:pPr>
        <w:pStyle w:val="DIDSParagraph"/>
      </w:pPr>
      <w:r>
        <w:t xml:space="preserve">The first reason is the most readily addressable by the counties and the Department, as funds are available to reimburse counties for increased salaries paid to public defenders. The second and third reasons are more difficult to address, but programs like LASSO, </w:t>
      </w:r>
      <w:r w:rsidR="0006774D">
        <w:t xml:space="preserve">continued rural attorney engagement with law students, and </w:t>
      </w:r>
      <w:r w:rsidR="00DB4AA0">
        <w:t xml:space="preserve">improved </w:t>
      </w:r>
      <w:r w:rsidR="004E73DF">
        <w:t>communication to students as to the benefits, rather than the detriments, of living and working in rural Nevada are likely to continue to change opinions over time.</w:t>
      </w:r>
    </w:p>
    <w:p w14:paraId="1D996E15" w14:textId="3AAA09DF" w:rsidR="000A56E2" w:rsidRDefault="000A56E2" w:rsidP="003E045A">
      <w:pPr>
        <w:pStyle w:val="DIDSParagraph"/>
      </w:pPr>
      <w:r>
        <w:lastRenderedPageBreak/>
        <w:t>Additionally, the Monitor has brought up additional concerns related to the independence of the Department and the State Public Defender.</w:t>
      </w:r>
      <w:r w:rsidR="00841E5B">
        <w:t xml:space="preserve"> As discussed </w:t>
      </w:r>
      <w:r w:rsidR="00AE4ED8">
        <w:t xml:space="preserve">in more detail </w:t>
      </w:r>
      <w:r w:rsidR="00841E5B">
        <w:t xml:space="preserve">below, these concerns were addressed by statutory amendments during the 2025 Legislative session. It is expected that these changes will allow the Department to </w:t>
      </w:r>
      <w:r w:rsidR="007C6F54">
        <w:t xml:space="preserve">be able to take the oftentimes unpopular positions necessary to ensuring that </w:t>
      </w:r>
      <w:r w:rsidR="003B6CE4">
        <w:t xml:space="preserve">public defense is appropriately supported and to </w:t>
      </w:r>
      <w:r w:rsidR="00162388">
        <w:t>continue to develop</w:t>
      </w:r>
      <w:r w:rsidR="003B6CE4">
        <w:t xml:space="preserve"> a culture </w:t>
      </w:r>
      <w:r w:rsidR="008608DE">
        <w:t xml:space="preserve">that is </w:t>
      </w:r>
      <w:r w:rsidR="00162388">
        <w:t>centered around the needs of indigent clients</w:t>
      </w:r>
      <w:r w:rsidR="003B6CE4">
        <w:t>.</w:t>
      </w:r>
    </w:p>
    <w:p w14:paraId="1F21191D" w14:textId="77777777" w:rsidR="00E21BCE" w:rsidRDefault="00E21BCE" w:rsidP="003E045A">
      <w:pPr>
        <w:pStyle w:val="DIDSParagraph"/>
      </w:pPr>
    </w:p>
    <w:p w14:paraId="6E64B7DE" w14:textId="48261C2D" w:rsidR="002F4616" w:rsidRDefault="002F4616" w:rsidP="002F4616">
      <w:pPr>
        <w:pStyle w:val="DIDSHeading"/>
      </w:pPr>
      <w:bookmarkStart w:id="7" w:name="_Toc201769352"/>
      <w:r>
        <w:t>Nevada State Public Defender’s Office</w:t>
      </w:r>
      <w:bookmarkEnd w:id="7"/>
    </w:p>
    <w:p w14:paraId="73B7EEC9" w14:textId="77777777" w:rsidR="002C1F9B" w:rsidRDefault="002C1F9B" w:rsidP="003E045A">
      <w:pPr>
        <w:pStyle w:val="DIDSParagraph"/>
      </w:pPr>
    </w:p>
    <w:p w14:paraId="76CB897F" w14:textId="18DD4B7E" w:rsidR="0022211D" w:rsidRDefault="002F4616" w:rsidP="003E045A">
      <w:pPr>
        <w:pStyle w:val="DIDSParagraph"/>
      </w:pPr>
      <w:r>
        <w:t xml:space="preserve">The NSPD has seen some major changes in the last year, with more emerging </w:t>
      </w:r>
      <w:proofErr w:type="gramStart"/>
      <w:r>
        <w:t>in the near future</w:t>
      </w:r>
      <w:proofErr w:type="gramEnd"/>
      <w:r>
        <w:t xml:space="preserve">. Patricia “Patty” Cafferata, State Public Defender, resigned from her </w:t>
      </w:r>
      <w:r w:rsidR="00C772AA">
        <w:t>position</w:t>
      </w:r>
      <w:r w:rsidR="01086F3F">
        <w:t>,</w:t>
      </w:r>
      <w:r>
        <w:t xml:space="preserve"> and Andrew Coates was appointed by the Governor in January to succeed her. Since then, the White Pine Branch has added another Deputy Public Defender to its ranks, providing some relief to the workloads of the other attorneys in the Office providing case coverage. Additionally, the Office has hired a legal researcher to provide research and editorial support to the attorneys.</w:t>
      </w:r>
      <w:r w:rsidR="00357CD2">
        <w:t xml:space="preserve"> The White Pine Branch has been able to continue to shoulder the caseloads </w:t>
      </w:r>
      <w:r w:rsidR="00A43EC0">
        <w:t xml:space="preserve">with the </w:t>
      </w:r>
      <w:r w:rsidR="00306087">
        <w:t xml:space="preserve">excellent assistance of Jane Eberhardy and Julie Cavanaugh-Bill, who </w:t>
      </w:r>
      <w:r w:rsidR="00376BD4">
        <w:t>handle</w:t>
      </w:r>
      <w:r w:rsidR="00306087">
        <w:t xml:space="preserve"> </w:t>
      </w:r>
      <w:r w:rsidR="001C70DB">
        <w:t xml:space="preserve">a significant portion of the </w:t>
      </w:r>
      <w:r w:rsidR="00541D57">
        <w:t>adult</w:t>
      </w:r>
      <w:r w:rsidR="001C70DB">
        <w:t xml:space="preserve"> </w:t>
      </w:r>
      <w:r w:rsidR="00376BD4">
        <w:t>cases</w:t>
      </w:r>
      <w:r w:rsidR="00541D57">
        <w:t xml:space="preserve"> and </w:t>
      </w:r>
      <w:r w:rsidR="0097044D">
        <w:t>all</w:t>
      </w:r>
      <w:r w:rsidR="001C70DB">
        <w:t xml:space="preserve"> the </w:t>
      </w:r>
      <w:r w:rsidR="00541D57">
        <w:t>juvenile case</w:t>
      </w:r>
      <w:r w:rsidR="00376BD4">
        <w:t>s</w:t>
      </w:r>
      <w:r w:rsidR="00541D57">
        <w:t>, respectively.</w:t>
      </w:r>
    </w:p>
    <w:p w14:paraId="04632DBF" w14:textId="44CC049B" w:rsidR="002F4616" w:rsidRDefault="002F4616" w:rsidP="003E045A">
      <w:pPr>
        <w:pStyle w:val="DIDSParagraph"/>
      </w:pPr>
      <w:r>
        <w:t>Beginning in July of 2025, the Office will be providing indigent defense services in Humboldt County.</w:t>
      </w:r>
      <w:r w:rsidR="0022211D">
        <w:t xml:space="preserve"> The Office has been working hard to secure the necessary facilities, people, and supplies to begin to meet its obligations in Humboldt County as quickly and efficiently as possible. </w:t>
      </w:r>
      <w:r w:rsidR="00DC39C8">
        <w:t xml:space="preserve">Office space in Winnemucca has been identified and </w:t>
      </w:r>
      <w:r w:rsidR="00E80119">
        <w:t>interviews for several new hires have already taken place. New staff will begin working with the Office in early July.</w:t>
      </w:r>
      <w:r w:rsidR="00F42711">
        <w:t xml:space="preserve"> </w:t>
      </w:r>
      <w:r w:rsidR="00961A4A">
        <w:t xml:space="preserve">By having positions held in reserve from the former Carson City Branch, the Office has been able to act more rapidly to fill </w:t>
      </w:r>
      <w:r w:rsidR="00C37FAF">
        <w:t xml:space="preserve">the new vacancies in Humboldt—typically, it can take </w:t>
      </w:r>
      <w:r w:rsidR="004E51DC">
        <w:t xml:space="preserve">from a few weeks to a few months to complete and process the paperwork required to create new positions in State government. </w:t>
      </w:r>
      <w:r w:rsidR="00F42711">
        <w:t xml:space="preserve">As it may take time to employ sufficient attorneys to meet the NCSC workload requirements, the Office is reaching out to potential contractors to take on </w:t>
      </w:r>
      <w:r w:rsidR="001325DB">
        <w:t>a significant portion of the workload.</w:t>
      </w:r>
      <w:r w:rsidR="000E5F0D">
        <w:t xml:space="preserve"> </w:t>
      </w:r>
    </w:p>
    <w:p w14:paraId="5975A9D4" w14:textId="77777777" w:rsidR="002F4616" w:rsidRDefault="002F4616" w:rsidP="003E045A">
      <w:pPr>
        <w:pStyle w:val="DIDSParagraph"/>
      </w:pPr>
    </w:p>
    <w:p w14:paraId="4E539F55" w14:textId="79144C14" w:rsidR="002F4616" w:rsidRDefault="002F4616">
      <w:pPr>
        <w:rPr>
          <w:rFonts w:ascii="Century Schoolbook" w:hAnsi="Century Schoolbook"/>
        </w:rPr>
      </w:pPr>
      <w:r>
        <w:br w:type="page"/>
      </w:r>
    </w:p>
    <w:p w14:paraId="3D6AF468" w14:textId="77777777" w:rsidR="00877249" w:rsidRDefault="00877249" w:rsidP="00877249">
      <w:pPr>
        <w:pStyle w:val="DIDSHeading"/>
      </w:pPr>
      <w:bookmarkStart w:id="8" w:name="_Toc201769353"/>
      <w:r>
        <w:lastRenderedPageBreak/>
        <w:t>Attorney Oversight: Mountains of Data</w:t>
      </w:r>
      <w:bookmarkEnd w:id="8"/>
    </w:p>
    <w:p w14:paraId="144C2D91" w14:textId="77777777" w:rsidR="002C1F9B" w:rsidRDefault="002C1F9B" w:rsidP="003E045A">
      <w:pPr>
        <w:pStyle w:val="DIDSParagraph"/>
      </w:pPr>
    </w:p>
    <w:p w14:paraId="4B2F0768" w14:textId="72507959" w:rsidR="00877249" w:rsidRDefault="00877249" w:rsidP="003E045A">
      <w:pPr>
        <w:pStyle w:val="DIDSParagraph"/>
      </w:pPr>
      <w:r>
        <w:t>The recruitment and implementation of the department’s oversight advisors has provided unparalleled insight into the performance of indigent defense counsel on the ground. The advisors have produced an enormous amount of data over the last year, visiting every county, almost every courthouse, and observing nearly every attorney practicing in Nevada’s fifteen rural counties.</w:t>
      </w:r>
      <w:r w:rsidR="004E16C5">
        <w:t xml:space="preserve"> Ultimately, no less than </w:t>
      </w:r>
      <w:r w:rsidR="0081137F">
        <w:t>seven hundred and fifty reports were delivered to the Department from July 2024 to June 2025</w:t>
      </w:r>
      <w:r w:rsidR="00EE313C">
        <w:t>, detailing</w:t>
      </w:r>
      <w:r w:rsidR="007E6AA3">
        <w:t xml:space="preserve"> single-day snapshots </w:t>
      </w:r>
      <w:r w:rsidR="00A941C3">
        <w:t>or</w:t>
      </w:r>
      <w:r w:rsidR="007E6AA3">
        <w:t xml:space="preserve"> multi-day </w:t>
      </w:r>
      <w:r w:rsidR="00A941C3">
        <w:t>observations</w:t>
      </w:r>
      <w:r w:rsidR="007E6AA3">
        <w:t xml:space="preserve"> of </w:t>
      </w:r>
      <w:r w:rsidR="00EE313C">
        <w:t xml:space="preserve">the representation of nearly </w:t>
      </w:r>
      <w:proofErr w:type="gramStart"/>
      <w:r w:rsidR="00EE313C">
        <w:t>all of</w:t>
      </w:r>
      <w:proofErr w:type="gramEnd"/>
      <w:r w:rsidR="00EE313C">
        <w:t xml:space="preserve"> the </w:t>
      </w:r>
      <w:r w:rsidR="007E6AA3">
        <w:t>attorneys qualified by the Department.</w:t>
      </w:r>
    </w:p>
    <w:p w14:paraId="663C0183" w14:textId="758F843F" w:rsidR="00877249" w:rsidRDefault="005935E2" w:rsidP="003E045A">
      <w:pPr>
        <w:pStyle w:val="DIDSParagraph"/>
      </w:pPr>
      <w:r>
        <w:t xml:space="preserve">The outreach advisors and their reports have proven to be a critical component to </w:t>
      </w:r>
      <w:proofErr w:type="gramStart"/>
      <w:r>
        <w:t>performing</w:t>
      </w:r>
      <w:proofErr w:type="gramEnd"/>
      <w:r>
        <w:t xml:space="preserve"> the obligations of the Department. </w:t>
      </w:r>
      <w:r w:rsidR="002A668E">
        <w:t xml:space="preserve">Based on some of the reporting, the Department has modified case assignments to ensure appropriate caseloads, contacted attorneys to ensure their health and well-being permitted them to continue to take cases, </w:t>
      </w:r>
      <w:r w:rsidR="00CC2428">
        <w:t xml:space="preserve">and </w:t>
      </w:r>
      <w:proofErr w:type="gramStart"/>
      <w:r w:rsidR="00CC2428">
        <w:t>help</w:t>
      </w:r>
      <w:proofErr w:type="gramEnd"/>
      <w:r w:rsidR="00CC2428">
        <w:t xml:space="preserve"> develop solutions to procedural issues faced by indigent defense attorneys in some </w:t>
      </w:r>
      <w:r w:rsidR="006E58C2">
        <w:t>of the rural counties.</w:t>
      </w:r>
    </w:p>
    <w:p w14:paraId="2712EB8A" w14:textId="3F1F0658" w:rsidR="00877249" w:rsidRDefault="006E65AB" w:rsidP="00077CBD">
      <w:pPr>
        <w:pStyle w:val="DIDSParagraph"/>
      </w:pPr>
      <w:r>
        <w:t>During the last year,</w:t>
      </w:r>
      <w:r w:rsidR="008E7E14">
        <w:t xml:space="preserve"> due to staffing shortages,</w:t>
      </w:r>
      <w:r>
        <w:t xml:space="preserve"> it has been difficult for the Department to be able to fully analyze and utilize the outreach advisor reports</w:t>
      </w:r>
      <w:r w:rsidR="008E7E14">
        <w:t>. The Department expects that, going forward</w:t>
      </w:r>
      <w:r w:rsidR="004D6FCB">
        <w:t xml:space="preserve"> with a full complement of Directors</w:t>
      </w:r>
      <w:r w:rsidR="008E7E14">
        <w:t>, it will be a</w:t>
      </w:r>
      <w:r w:rsidR="00202AAF">
        <w:t xml:space="preserve">ble to engage with the outreach advisors with much greater frequency, review </w:t>
      </w:r>
      <w:proofErr w:type="gramStart"/>
      <w:r w:rsidR="00202AAF">
        <w:t>all of</w:t>
      </w:r>
      <w:proofErr w:type="gramEnd"/>
      <w:r w:rsidR="00202AAF">
        <w:t xml:space="preserve"> the reporting received, and more completely identify </w:t>
      </w:r>
      <w:r w:rsidR="004D6FCB">
        <w:t xml:space="preserve">and address </w:t>
      </w:r>
      <w:r w:rsidR="00202AAF">
        <w:t>developing issues</w:t>
      </w:r>
      <w:r w:rsidR="004D6FCB">
        <w:t xml:space="preserve"> as they arise.</w:t>
      </w:r>
    </w:p>
    <w:p w14:paraId="3E541951" w14:textId="77777777" w:rsidR="00077CBD" w:rsidRDefault="00077CBD" w:rsidP="00077CBD">
      <w:pPr>
        <w:pStyle w:val="DIDSParagraph"/>
      </w:pPr>
    </w:p>
    <w:p w14:paraId="1AB7910E" w14:textId="1FC8B92F" w:rsidR="002F4616" w:rsidRDefault="002F4616" w:rsidP="002F4616">
      <w:pPr>
        <w:pStyle w:val="DIDSHeading"/>
      </w:pPr>
      <w:bookmarkStart w:id="9" w:name="_Toc201769354"/>
      <w:r>
        <w:t>Training: New Ideas and New Opportunities</w:t>
      </w:r>
      <w:bookmarkEnd w:id="9"/>
    </w:p>
    <w:p w14:paraId="6A1E1660" w14:textId="77777777" w:rsidR="002C1F9B" w:rsidRDefault="002C1F9B" w:rsidP="003E045A">
      <w:pPr>
        <w:pStyle w:val="DIDSParagraph"/>
      </w:pPr>
    </w:p>
    <w:p w14:paraId="0FDD89CA" w14:textId="04DD938E" w:rsidR="002F4616" w:rsidRDefault="002F4616" w:rsidP="003E045A">
      <w:pPr>
        <w:pStyle w:val="DIDSParagraph"/>
      </w:pPr>
      <w:r>
        <w:t>With more funding and fewer constraints, the Department has been able to develop</w:t>
      </w:r>
      <w:r w:rsidR="00BE5062">
        <w:t xml:space="preserve"> a robust training schedule that allows not only opportunit</w:t>
      </w:r>
      <w:r w:rsidR="002F75C1">
        <w:t>ies</w:t>
      </w:r>
      <w:r w:rsidR="00BE5062">
        <w:t xml:space="preserve"> for public defenders to receive the mandatory amount of CLE credit, but to try new technologies, engage with other attorneys to build professional networks, and to learn (or teach!) at highly acclaimed skills courses.</w:t>
      </w:r>
    </w:p>
    <w:p w14:paraId="7F270061" w14:textId="77777777" w:rsidR="00A70222" w:rsidRDefault="00121E52" w:rsidP="003E045A">
      <w:pPr>
        <w:pStyle w:val="DIDSParagraph"/>
      </w:pPr>
      <w:r w:rsidRPr="00121E52">
        <w:t>One of the primary goals of the Department is to provide indigent defense providers with access to a systematic and comprehensive training program. To that end, we held our 5</w:t>
      </w:r>
      <w:r w:rsidRPr="00121E52">
        <w:rPr>
          <w:vertAlign w:val="superscript"/>
        </w:rPr>
        <w:t>th</w:t>
      </w:r>
      <w:r w:rsidRPr="00121E52">
        <w:t xml:space="preserve"> Annual Conference in April of this year in Reno. By any measure, the </w:t>
      </w:r>
      <w:r w:rsidRPr="00121E52">
        <w:lastRenderedPageBreak/>
        <w:t xml:space="preserve">conference was a success!  The theme of this year’s conference was </w:t>
      </w:r>
      <w:r w:rsidR="00AE0688">
        <w:t>“</w:t>
      </w:r>
      <w:r w:rsidRPr="00121E52">
        <w:t>Defending Crimes of Violence.</w:t>
      </w:r>
      <w:r w:rsidR="00AE0688">
        <w:t>”</w:t>
      </w:r>
      <w:r w:rsidRPr="00121E52">
        <w:t xml:space="preserve"> We brought in 12 speakers, 5 of whom were from out of state and are preeminent attorneys in their fields. We once again partnered with the Nevada Public Health Foundation, Inc. (NPHF), who provided conference management and facilitation services for the 2025 conference. </w:t>
      </w:r>
      <w:r w:rsidR="00B02FFB">
        <w:t>With the increased funding available, t</w:t>
      </w:r>
      <w:r w:rsidRPr="00121E52">
        <w:t xml:space="preserve">he Department was able to reimburse travel costs for </w:t>
      </w:r>
      <w:proofErr w:type="gramStart"/>
      <w:r w:rsidRPr="00B02FFB">
        <w:rPr>
          <w:u w:val="single"/>
        </w:rPr>
        <w:t>all</w:t>
      </w:r>
      <w:r w:rsidRPr="00121E52">
        <w:t xml:space="preserve"> of</w:t>
      </w:r>
      <w:proofErr w:type="gramEnd"/>
      <w:r w:rsidRPr="00121E52">
        <w:t xml:space="preserve"> the rural indigent defense providers who had to travel to attend, and we had a record turnout. Attendees earned a total of 557.5 hours of continuing legal education (CLE) credit</w:t>
      </w:r>
      <w:r w:rsidR="001008F0">
        <w:t>, all</w:t>
      </w:r>
      <w:r w:rsidRPr="00121E52">
        <w:t xml:space="preserve"> specific to criminal defense. </w:t>
      </w:r>
      <w:r w:rsidR="001008F0">
        <w:t>This year, w</w:t>
      </w:r>
      <w:r w:rsidRPr="00121E52">
        <w:t>e experimented with a three-day format that went from 1:00 pm on day one through 12:00 pm on day three, which allowed for easier travel</w:t>
      </w:r>
      <w:r w:rsidR="001008F0">
        <w:t xml:space="preserve"> for attendees</w:t>
      </w:r>
      <w:r w:rsidRPr="00121E52">
        <w:t xml:space="preserve"> and decreased hotel and facility costs. Attendees overwhelmingly </w:t>
      </w:r>
      <w:r w:rsidR="00B42CA1">
        <w:t>preferr</w:t>
      </w:r>
      <w:r w:rsidRPr="00121E52">
        <w:t>ed this schedul</w:t>
      </w:r>
      <w:r w:rsidR="00B42CA1">
        <w:t>ing arrangement</w:t>
      </w:r>
      <w:r w:rsidRPr="00121E52">
        <w:t>.</w:t>
      </w:r>
    </w:p>
    <w:p w14:paraId="20C735FA" w14:textId="5585BF5F" w:rsidR="00121E52" w:rsidRPr="00121E52" w:rsidRDefault="00A70222" w:rsidP="003E045A">
      <w:pPr>
        <w:pStyle w:val="DIDSParagraph"/>
      </w:pPr>
      <w:r>
        <w:t>As with prior conferences, t</w:t>
      </w:r>
      <w:r w:rsidR="00121E52" w:rsidRPr="00121E52">
        <w:t xml:space="preserve">he Department </w:t>
      </w:r>
      <w:r>
        <w:t xml:space="preserve">has </w:t>
      </w:r>
      <w:r w:rsidR="00121E52" w:rsidRPr="00121E52">
        <w:t xml:space="preserve">continued its commitment to </w:t>
      </w:r>
      <w:r>
        <w:t xml:space="preserve">building </w:t>
      </w:r>
      <w:r w:rsidR="00121E52" w:rsidRPr="00121E52">
        <w:t>connect</w:t>
      </w:r>
      <w:r>
        <w:t>ions</w:t>
      </w:r>
      <w:r w:rsidR="00121E52" w:rsidRPr="00121E52">
        <w:t xml:space="preserve"> </w:t>
      </w:r>
      <w:r>
        <w:t xml:space="preserve">within </w:t>
      </w:r>
      <w:r w:rsidR="00121E52" w:rsidRPr="00121E52">
        <w:t>the indigent defense community. First, we worked with Nevada Attorneys for Criminal Justice to host an opening-night reception that was well-attended. Second, we had a lunchtime leadership session with select rural attorneys to discuss the challenges they face in their leadership roles and hear how other</w:t>
      </w:r>
      <w:r w:rsidR="001F0B66">
        <w:t xml:space="preserve"> leaders</w:t>
      </w:r>
      <w:r w:rsidR="00121E52" w:rsidRPr="00121E52">
        <w:t xml:space="preserve"> are handling those challenges. Finally, we facilitated an evening dining event with the aim of allowing indigent defense providers from different areas </w:t>
      </w:r>
      <w:r w:rsidR="006F18B9">
        <w:t xml:space="preserve">of the state </w:t>
      </w:r>
      <w:r w:rsidR="00121E52" w:rsidRPr="00121E52">
        <w:t>to interact in a more relaxed setting. Feedback from the conference was uniformly positive.</w:t>
      </w:r>
    </w:p>
    <w:p w14:paraId="32A0813E" w14:textId="77777777" w:rsidR="00DA2070" w:rsidRDefault="00121E52" w:rsidP="003E045A">
      <w:pPr>
        <w:pStyle w:val="DIDSParagraph"/>
      </w:pPr>
      <w:r w:rsidRPr="00121E52">
        <w:t xml:space="preserve">Over the course of this last year, the Department was </w:t>
      </w:r>
      <w:r w:rsidR="00765C58">
        <w:t xml:space="preserve">also </w:t>
      </w:r>
      <w:r w:rsidRPr="00121E52">
        <w:t xml:space="preserve">able to provide a total of 530 hours of CLE credit through our live </w:t>
      </w:r>
      <w:r w:rsidR="001F6377" w:rsidRPr="00121E52">
        <w:t>online</w:t>
      </w:r>
      <w:r w:rsidRPr="00121E52">
        <w:t xml:space="preserve"> webinars. Courses covered a variety of topics, including ethics, mental health, appeals, strangulation, civil resources for indigent defendants, handling difficult clients, a juvenile</w:t>
      </w:r>
      <w:r>
        <w:t>-law</w:t>
      </w:r>
      <w:r w:rsidRPr="00121E52">
        <w:t xml:space="preserve"> primer, and </w:t>
      </w:r>
      <w:proofErr w:type="spellStart"/>
      <w:r w:rsidRPr="00121E52">
        <w:t>WestlawEdge</w:t>
      </w:r>
      <w:proofErr w:type="spellEnd"/>
      <w:r w:rsidRPr="00121E52">
        <w:t xml:space="preserve"> research. </w:t>
      </w:r>
      <w:r w:rsidR="00F67B5A">
        <w:t xml:space="preserve">Because we have been able to record these </w:t>
      </w:r>
      <w:r w:rsidR="00DA2070">
        <w:t>live online webinars,</w:t>
      </w:r>
      <w:r w:rsidRPr="00121E52">
        <w:t xml:space="preserve"> </w:t>
      </w:r>
      <w:proofErr w:type="gramStart"/>
      <w:r w:rsidRPr="00121E52">
        <w:t>were</w:t>
      </w:r>
      <w:proofErr w:type="gramEnd"/>
      <w:r w:rsidRPr="00121E52">
        <w:t xml:space="preserve"> </w:t>
      </w:r>
      <w:r w:rsidR="00DA2070">
        <w:t xml:space="preserve">also </w:t>
      </w:r>
      <w:r w:rsidRPr="00121E52">
        <w:t xml:space="preserve">able to facilitate </w:t>
      </w:r>
      <w:r w:rsidRPr="00F67B5A">
        <w:rPr>
          <w:i/>
          <w:iCs/>
        </w:rPr>
        <w:t>an additional</w:t>
      </w:r>
      <w:r w:rsidRPr="00121E52">
        <w:t xml:space="preserve"> 180 hours of on-line CLE credits by providing links to past courses to attorneys who requested them.</w:t>
      </w:r>
    </w:p>
    <w:p w14:paraId="37BE709A" w14:textId="77777777" w:rsidR="00DA2070" w:rsidRDefault="00121E52" w:rsidP="003E045A">
      <w:pPr>
        <w:pStyle w:val="DIDSParagraph"/>
      </w:pPr>
      <w:r w:rsidRPr="00121E52">
        <w:t>As this was the first full year that we had an enforcement mechanism for the Board’s regulation requiring five hours annually of CLE courses relevant to the provision of indigent defense, the Department started reminding attorneys in October of the requirement and the January 1 deadline for compliance. Dozens of attorneys took advantage of this to meet their regulatory obligation.</w:t>
      </w:r>
    </w:p>
    <w:p w14:paraId="3CC42C09" w14:textId="327F9CD7" w:rsidR="00BE5062" w:rsidRDefault="00DA2070" w:rsidP="00077CBD">
      <w:pPr>
        <w:pStyle w:val="DIDSParagraph"/>
      </w:pPr>
      <w:r>
        <w:t xml:space="preserve">Last, but certainly not least, </w:t>
      </w:r>
      <w:r w:rsidR="00121E52" w:rsidRPr="00121E52">
        <w:t xml:space="preserve">we have been able to arrange </w:t>
      </w:r>
      <w:r>
        <w:t>reimbursement for</w:t>
      </w:r>
      <w:r w:rsidR="00121E52" w:rsidRPr="00121E52">
        <w:t xml:space="preserve"> nine attorneys </w:t>
      </w:r>
      <w:r>
        <w:t>to</w:t>
      </w:r>
      <w:r w:rsidR="00121E52" w:rsidRPr="00121E52">
        <w:t xml:space="preserve"> travel to and participat</w:t>
      </w:r>
      <w:r w:rsidR="00F26030">
        <w:t>e</w:t>
      </w:r>
      <w:r w:rsidR="00121E52" w:rsidRPr="00121E52">
        <w:t xml:space="preserve"> in nationally recognized criminal defense trial academies.</w:t>
      </w:r>
      <w:r w:rsidR="00BE5062">
        <w:br w:type="page"/>
      </w:r>
    </w:p>
    <w:p w14:paraId="22C264FF" w14:textId="79F07F41" w:rsidR="002C1F9B" w:rsidRDefault="00DE77D4" w:rsidP="002C1F9B">
      <w:pPr>
        <w:pStyle w:val="DIDSHeading"/>
      </w:pPr>
      <w:bookmarkStart w:id="10" w:name="_Toc201769355"/>
      <w:r>
        <w:lastRenderedPageBreak/>
        <w:t>2025 Legislative Update</w:t>
      </w:r>
      <w:bookmarkEnd w:id="10"/>
    </w:p>
    <w:p w14:paraId="6083731E" w14:textId="77777777" w:rsidR="002C1F9B" w:rsidRDefault="002C1F9B" w:rsidP="002C1F9B">
      <w:pPr>
        <w:pStyle w:val="DIDSParagraph"/>
      </w:pPr>
    </w:p>
    <w:p w14:paraId="35E3FDC1" w14:textId="1A4EEA69" w:rsidR="00DE77D4" w:rsidRDefault="00190FCB" w:rsidP="00190FCB">
      <w:pPr>
        <w:pStyle w:val="DIDSSubHeading"/>
      </w:pPr>
      <w:bookmarkStart w:id="11" w:name="_Toc201769356"/>
      <w:r>
        <w:t>SB</w:t>
      </w:r>
      <w:r w:rsidR="00B34AA2">
        <w:t>407</w:t>
      </w:r>
      <w:bookmarkEnd w:id="11"/>
    </w:p>
    <w:p w14:paraId="5CDD56D5" w14:textId="2C0EA194" w:rsidR="00DF7819" w:rsidRDefault="00B34AA2" w:rsidP="003E045A">
      <w:pPr>
        <w:pStyle w:val="DIDSParagraph"/>
      </w:pPr>
      <w:r>
        <w:t xml:space="preserve">Senate Bill 407, enrolled as </w:t>
      </w:r>
      <w:r w:rsidR="00ED54C0">
        <w:t>Chapter 519, becomes effective July 1, 2025. The</w:t>
      </w:r>
      <w:r w:rsidR="00F572C1">
        <w:t xml:space="preserve"> bill modified existing provisions of Chapter 180 of the Nevada Revised Statutes </w:t>
      </w:r>
      <w:r w:rsidR="00D724AA">
        <w:t xml:space="preserve">in ways that address the </w:t>
      </w:r>
      <w:r w:rsidR="00D724AA">
        <w:rPr>
          <w:i/>
          <w:iCs/>
        </w:rPr>
        <w:t>Davis</w:t>
      </w:r>
      <w:r w:rsidR="00D724AA">
        <w:t xml:space="preserve"> monitor’s </w:t>
      </w:r>
      <w:r w:rsidR="009F05E2">
        <w:t>principal</w:t>
      </w:r>
      <w:r w:rsidR="00D724AA">
        <w:t xml:space="preserve"> concern in her </w:t>
      </w:r>
      <w:r w:rsidR="00FC704C">
        <w:t>14th</w:t>
      </w:r>
      <w:r w:rsidR="009E0392">
        <w:t xml:space="preserve"> and </w:t>
      </w:r>
      <w:r w:rsidR="00FC704C">
        <w:t>15th</w:t>
      </w:r>
      <w:r w:rsidR="00D724AA">
        <w:t xml:space="preserve"> Report</w:t>
      </w:r>
      <w:r w:rsidR="009E0392">
        <w:t>s</w:t>
      </w:r>
      <w:r w:rsidR="00D724AA">
        <w:t>, namely, independence</w:t>
      </w:r>
      <w:r w:rsidR="009E0392">
        <w:t xml:space="preserve"> of the Public Defender and the Department of Indigent Defense Services.</w:t>
      </w:r>
    </w:p>
    <w:p w14:paraId="1B4F31C3" w14:textId="77B45993" w:rsidR="00B34AA2" w:rsidRDefault="009F05E2" w:rsidP="003E045A">
      <w:pPr>
        <w:pStyle w:val="DIDSParagraph"/>
      </w:pPr>
      <w:r>
        <w:t xml:space="preserve">SB407 provides that the </w:t>
      </w:r>
      <w:r w:rsidR="00891C65">
        <w:t xml:space="preserve">Executive Director of the Department serves at the pleasure of the Board on Indigent Defense Services and authorizes the Board </w:t>
      </w:r>
      <w:r w:rsidR="00977416">
        <w:t>to remove the Executive Director for good cause</w:t>
      </w:r>
      <w:r w:rsidR="00621391">
        <w:t xml:space="preserve">; further, the Governor may only remove the Executive director upon a finding of criminal conduct, </w:t>
      </w:r>
      <w:r w:rsidR="00916021">
        <w:t>in or out of office, or for committing an act that constitutes malfeasance or nonfeasance in office</w:t>
      </w:r>
      <w:r w:rsidR="00977416">
        <w:t>.</w:t>
      </w:r>
    </w:p>
    <w:p w14:paraId="207D97BC" w14:textId="3FDD6296" w:rsidR="00DF7819" w:rsidRDefault="00DF7819" w:rsidP="003E045A">
      <w:pPr>
        <w:pStyle w:val="DIDSParagraph"/>
      </w:pPr>
      <w:r>
        <w:t>SB 407 also removed the appointment</w:t>
      </w:r>
      <w:r w:rsidR="00535F28">
        <w:t xml:space="preserve"> authority</w:t>
      </w:r>
      <w:r>
        <w:t xml:space="preserve"> of the State Public Defender</w:t>
      </w:r>
      <w:r w:rsidR="00535F28">
        <w:t xml:space="preserve"> from the </w:t>
      </w:r>
      <w:r w:rsidR="00310E34">
        <w:t>Governor and</w:t>
      </w:r>
      <w:r w:rsidR="00535F28">
        <w:t xml:space="preserve"> provides that the Executive Director shall appoint the State Public Defender.</w:t>
      </w:r>
      <w:r w:rsidR="006327A9">
        <w:t xml:space="preserve"> Additionally, appointees to the Office of State Public Defender </w:t>
      </w:r>
      <w:r w:rsidR="00BE5F2C">
        <w:t xml:space="preserve">need not be fully licensed to practice law in the State of </w:t>
      </w:r>
      <w:r w:rsidR="00310E34">
        <w:t>Nevada but</w:t>
      </w:r>
      <w:r w:rsidR="00BE5F2C">
        <w:t xml:space="preserve"> must be </w:t>
      </w:r>
      <w:r w:rsidR="003939E3">
        <w:t>“authorized to practice law in the State of Nevada pursuant to the rules of the Supreme Court.”</w:t>
      </w:r>
    </w:p>
    <w:p w14:paraId="55E71959" w14:textId="5AC18712" w:rsidR="003939E3" w:rsidRDefault="003939E3" w:rsidP="003939E3">
      <w:pPr>
        <w:pStyle w:val="DIDSSubHeading"/>
      </w:pPr>
      <w:bookmarkStart w:id="12" w:name="_Toc201769357"/>
      <w:r>
        <w:t>AB541</w:t>
      </w:r>
      <w:bookmarkEnd w:id="12"/>
    </w:p>
    <w:p w14:paraId="1B550855" w14:textId="15BAFC21" w:rsidR="003939E3" w:rsidRPr="00D724AA" w:rsidRDefault="00F714DC" w:rsidP="003E045A">
      <w:pPr>
        <w:pStyle w:val="DIDSParagraph"/>
      </w:pPr>
      <w:r>
        <w:t xml:space="preserve">Assembly Bill 541, enrolled as Chapter </w:t>
      </w:r>
      <w:r w:rsidR="00D43817">
        <w:t xml:space="preserve">282, becomes effective </w:t>
      </w:r>
      <w:r w:rsidR="003F2ADD">
        <w:t xml:space="preserve">upon passage and approval </w:t>
      </w:r>
      <w:r w:rsidR="00537879">
        <w:t xml:space="preserve">for administrative purposes and </w:t>
      </w:r>
      <w:r w:rsidR="003F2ADD">
        <w:t>o</w:t>
      </w:r>
      <w:r w:rsidR="00537879">
        <w:t>n</w:t>
      </w:r>
      <w:r w:rsidR="003F2ADD">
        <w:t xml:space="preserve"> July 1, 2025</w:t>
      </w:r>
      <w:r w:rsidR="00537879">
        <w:t>, for all other purposes</w:t>
      </w:r>
      <w:r w:rsidR="003F2ADD">
        <w:t xml:space="preserve">. </w:t>
      </w:r>
      <w:r w:rsidR="004B734D">
        <w:t>The bill modified Chapters 7 an</w:t>
      </w:r>
      <w:r w:rsidR="006F0C90">
        <w:t>d</w:t>
      </w:r>
      <w:r w:rsidR="004B734D">
        <w:t xml:space="preserve"> 34 of the Nevada Revised Statutes to cause funding to be budgeted and paid to post-conviction counsel from the </w:t>
      </w:r>
      <w:r w:rsidR="006F0C90">
        <w:t xml:space="preserve">State Public Defender to the Department of Indigent Defense Services. This is consistent with the Division’s review </w:t>
      </w:r>
      <w:r w:rsidR="0074193B">
        <w:t xml:space="preserve">and approval of payment </w:t>
      </w:r>
      <w:r w:rsidR="006F0C90">
        <w:t xml:space="preserve">of attorney </w:t>
      </w:r>
      <w:r w:rsidR="0074193B">
        <w:t xml:space="preserve">work in other </w:t>
      </w:r>
      <w:r w:rsidR="00310E34">
        <w:t>areas and</w:t>
      </w:r>
      <w:r w:rsidR="0074193B">
        <w:t xml:space="preserve"> removes the stewardship of these funds from the State Public Defender’s Office</w:t>
      </w:r>
      <w:r w:rsidR="005B195B">
        <w:t>. It is anticipated that these changes will</w:t>
      </w:r>
      <w:r w:rsidR="0074193B">
        <w:t xml:space="preserve"> </w:t>
      </w:r>
      <w:r w:rsidR="5FB26E3A">
        <w:t>allow</w:t>
      </w:r>
      <w:r w:rsidR="005B195B">
        <w:t xml:space="preserve"> the State Public Defe</w:t>
      </w:r>
      <w:r w:rsidR="2D10EF91">
        <w:t>n</w:t>
      </w:r>
      <w:r w:rsidR="005B195B">
        <w:t>der</w:t>
      </w:r>
      <w:r w:rsidR="0074193B">
        <w:t xml:space="preserve"> </w:t>
      </w:r>
      <w:r w:rsidR="05A72D4B">
        <w:t xml:space="preserve">to focus on </w:t>
      </w:r>
      <w:r w:rsidR="00537879">
        <w:t>defend</w:t>
      </w:r>
      <w:r w:rsidR="57D63393">
        <w:t>ing</w:t>
      </w:r>
      <w:r w:rsidR="00537879">
        <w:t xml:space="preserve"> its clients.</w:t>
      </w:r>
    </w:p>
    <w:p w14:paraId="103BA5C4" w14:textId="77777777" w:rsidR="00DE77D4" w:rsidRDefault="00DE77D4" w:rsidP="003E045A">
      <w:pPr>
        <w:pStyle w:val="DIDSParagraph"/>
      </w:pPr>
    </w:p>
    <w:p w14:paraId="1BACB148" w14:textId="4B19D186" w:rsidR="00DE77D4" w:rsidRDefault="00DE77D4">
      <w:pPr>
        <w:rPr>
          <w:rFonts w:ascii="Century Schoolbook" w:hAnsi="Century Schoolbook"/>
          <w:szCs w:val="32"/>
        </w:rPr>
      </w:pPr>
      <w:r>
        <w:br w:type="page"/>
      </w:r>
    </w:p>
    <w:p w14:paraId="3887EEA0" w14:textId="60C9BE81" w:rsidR="00DE77D4" w:rsidRDefault="002C1F9B" w:rsidP="00DE77D4">
      <w:pPr>
        <w:pStyle w:val="DIDSHeading"/>
      </w:pPr>
      <w:bookmarkStart w:id="13" w:name="_Toc201769358"/>
      <w:r>
        <w:lastRenderedPageBreak/>
        <w:t xml:space="preserve">Fiscal Year 2024 </w:t>
      </w:r>
      <w:r w:rsidR="00DE77D4">
        <w:t xml:space="preserve">Maximum Contribution </w:t>
      </w:r>
      <w:r>
        <w:t xml:space="preserve">Amounts and </w:t>
      </w:r>
      <w:r w:rsidR="00DE77D4">
        <w:t>Reimbursement</w:t>
      </w:r>
      <w:r>
        <w:t>s</w:t>
      </w:r>
      <w:bookmarkEnd w:id="13"/>
    </w:p>
    <w:p w14:paraId="311F3540" w14:textId="77777777" w:rsidR="002C1F9B" w:rsidRDefault="002C1F9B" w:rsidP="003E045A">
      <w:pPr>
        <w:pStyle w:val="DIDSParagraph"/>
      </w:pPr>
    </w:p>
    <w:p w14:paraId="25D88E08" w14:textId="788212FC" w:rsidR="00DE77D4" w:rsidRDefault="00C34626" w:rsidP="003E045A">
      <w:pPr>
        <w:pStyle w:val="DIDSParagraph"/>
      </w:pPr>
      <w:r>
        <w:t xml:space="preserve">The Department reimbursed </w:t>
      </w:r>
      <w:r w:rsidR="00965465">
        <w:t xml:space="preserve">even higher amounts to Counties in </w:t>
      </w:r>
      <w:r>
        <w:t>Fiscal Year 2024</w:t>
      </w:r>
      <w:r w:rsidR="00965465">
        <w:t xml:space="preserve">, demonstrating the </w:t>
      </w:r>
      <w:r w:rsidR="002C1F9B">
        <w:t>increasing costs of indigent defense representation and increased county investments in their indigent defense programs. The table below provides an overview of each county’s maximum contribution amount, spending, and reimbursements received in Fiscal Year 2024.</w:t>
      </w:r>
    </w:p>
    <w:p w14:paraId="1BC91DCB" w14:textId="77777777" w:rsidR="002C1F9B" w:rsidRDefault="002C1F9B" w:rsidP="003E045A">
      <w:pPr>
        <w:pStyle w:val="DIDSParagraph"/>
      </w:pPr>
    </w:p>
    <w:p w14:paraId="0D3A1E76" w14:textId="7A6AE703" w:rsidR="00DE77D4" w:rsidRDefault="00A70AD5" w:rsidP="00A70AD5">
      <w:pPr>
        <w:pStyle w:val="DIDSParagraph"/>
        <w:jc w:val="center"/>
      </w:pPr>
      <w:r w:rsidRPr="00A70AD5">
        <w:rPr>
          <w:noProof/>
        </w:rPr>
        <w:drawing>
          <wp:inline distT="0" distB="0" distL="0" distR="0" wp14:anchorId="4006A617" wp14:editId="13ECB1BA">
            <wp:extent cx="5486400" cy="4829175"/>
            <wp:effectExtent l="0" t="0" r="0" b="9525"/>
            <wp:docPr id="1770423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829175"/>
                    </a:xfrm>
                    <a:prstGeom prst="rect">
                      <a:avLst/>
                    </a:prstGeom>
                    <a:noFill/>
                    <a:ln>
                      <a:noFill/>
                    </a:ln>
                  </pic:spPr>
                </pic:pic>
              </a:graphicData>
            </a:graphic>
          </wp:inline>
        </w:drawing>
      </w:r>
    </w:p>
    <w:p w14:paraId="250CA2EB" w14:textId="70D2D448" w:rsidR="00DE77D4" w:rsidRDefault="00DE77D4">
      <w:pPr>
        <w:rPr>
          <w:rFonts w:ascii="Century Schoolbook" w:hAnsi="Century Schoolbook"/>
          <w:szCs w:val="32"/>
        </w:rPr>
      </w:pPr>
      <w:r>
        <w:br w:type="page"/>
      </w:r>
    </w:p>
    <w:p w14:paraId="6326AFDC" w14:textId="6D3C83BD" w:rsidR="00DE77D4" w:rsidRDefault="00DE77D4" w:rsidP="00DE77D4">
      <w:pPr>
        <w:pStyle w:val="DIDSHeading"/>
      </w:pPr>
      <w:bookmarkStart w:id="14" w:name="_Toc201769359"/>
      <w:r>
        <w:lastRenderedPageBreak/>
        <w:t>L</w:t>
      </w:r>
      <w:r w:rsidR="003E2CA8">
        <w:t xml:space="preserve">aw </w:t>
      </w:r>
      <w:r>
        <w:t>S</w:t>
      </w:r>
      <w:r w:rsidR="003E2CA8">
        <w:t xml:space="preserve">tudent </w:t>
      </w:r>
      <w:r>
        <w:t>S</w:t>
      </w:r>
      <w:r w:rsidR="003E2CA8">
        <w:t xml:space="preserve">upervision </w:t>
      </w:r>
      <w:r>
        <w:t>O</w:t>
      </w:r>
      <w:r w:rsidR="003E2CA8">
        <w:t>peration (LASSO)</w:t>
      </w:r>
      <w:bookmarkEnd w:id="14"/>
    </w:p>
    <w:p w14:paraId="09E19341" w14:textId="77777777" w:rsidR="00DE77D4" w:rsidRDefault="00DE77D4" w:rsidP="003E045A">
      <w:pPr>
        <w:pStyle w:val="DIDSParagraph"/>
      </w:pPr>
    </w:p>
    <w:p w14:paraId="517C6F22" w14:textId="56EF946D" w:rsidR="068935A9" w:rsidRDefault="33F37780" w:rsidP="068935A9">
      <w:pPr>
        <w:pStyle w:val="DIDSParagraph"/>
      </w:pPr>
      <w:r>
        <w:t xml:space="preserve">The Department </w:t>
      </w:r>
      <w:r w:rsidR="5A688439">
        <w:t>continues with its efforts to reach as many students as po</w:t>
      </w:r>
      <w:r>
        <w:t>s</w:t>
      </w:r>
      <w:r w:rsidR="5A688439">
        <w:t>sible.</w:t>
      </w:r>
      <w:r>
        <w:t xml:space="preserve"> </w:t>
      </w:r>
      <w:r w:rsidR="3623B56A">
        <w:t xml:space="preserve">In October, we hosted Professor Stephen Bright (Yale and Georgetown), coauthor of </w:t>
      </w:r>
      <w:r w:rsidR="3623B56A" w:rsidRPr="00092FD5">
        <w:rPr>
          <w:i/>
        </w:rPr>
        <w:t>The Fear of Too Much Justice: Race, Poverty &amp; the Persistence of Inequality in the Criminal Courts</w:t>
      </w:r>
      <w:r w:rsidR="3623B56A" w:rsidRPr="0D94F792">
        <w:t>,</w:t>
      </w:r>
      <w:r w:rsidR="3623B56A">
        <w:t xml:space="preserve"> </w:t>
      </w:r>
      <w:r w:rsidR="3623B56A" w:rsidRPr="0D94F792">
        <w:t xml:space="preserve">at </w:t>
      </w:r>
      <w:r w:rsidR="003A6115">
        <w:t>the Boyd</w:t>
      </w:r>
      <w:r w:rsidR="3623B56A" w:rsidRPr="0D94F792">
        <w:t xml:space="preserve"> </w:t>
      </w:r>
      <w:r w:rsidR="003A6115">
        <w:t>S</w:t>
      </w:r>
      <w:r w:rsidR="3623B56A" w:rsidRPr="34862C34">
        <w:t>chool</w:t>
      </w:r>
      <w:r w:rsidR="003A6115">
        <w:t xml:space="preserve"> of Law</w:t>
      </w:r>
      <w:r w:rsidR="3623B56A">
        <w:t xml:space="preserve"> </w:t>
      </w:r>
      <w:r w:rsidR="3623B56A" w:rsidRPr="66F8B745">
        <w:t xml:space="preserve">where he gave </w:t>
      </w:r>
      <w:r w:rsidR="3623B56A" w:rsidRPr="7EF9CB52">
        <w:t>a</w:t>
      </w:r>
      <w:r w:rsidR="66FC394E" w:rsidRPr="7EF9CB52">
        <w:t xml:space="preserve">n </w:t>
      </w:r>
      <w:r w:rsidR="66FC394E" w:rsidRPr="0C102628">
        <w:t xml:space="preserve">inspiring </w:t>
      </w:r>
      <w:r w:rsidR="005A773F">
        <w:t>presentation</w:t>
      </w:r>
      <w:r w:rsidR="17FFAA19" w:rsidRPr="21A478D7">
        <w:t xml:space="preserve"> regarding </w:t>
      </w:r>
      <w:r w:rsidR="17FFAA19" w:rsidRPr="0642CD68">
        <w:t xml:space="preserve">the importance of indigent defense. </w:t>
      </w:r>
      <w:r w:rsidR="005A773F">
        <w:t>The s</w:t>
      </w:r>
      <w:r w:rsidR="3623B56A">
        <w:t xml:space="preserve">tudent response was </w:t>
      </w:r>
      <w:r w:rsidR="005A773F">
        <w:t xml:space="preserve">extremely </w:t>
      </w:r>
      <w:r w:rsidR="3623B56A">
        <w:t>positive.</w:t>
      </w:r>
      <w:r w:rsidR="4C7F324B">
        <w:t xml:space="preserve"> </w:t>
      </w:r>
      <w:r w:rsidR="005A773F">
        <w:t>T</w:t>
      </w:r>
      <w:r w:rsidR="4C7F324B">
        <w:t>o extend our reach even further</w:t>
      </w:r>
      <w:r w:rsidR="00D72ADB">
        <w:t xml:space="preserve"> into places more geographically </w:t>
      </w:r>
      <w:proofErr w:type="gramStart"/>
      <w:r w:rsidR="00D72ADB">
        <w:t>similar to</w:t>
      </w:r>
      <w:proofErr w:type="gramEnd"/>
      <w:r w:rsidR="00D72ADB">
        <w:t xml:space="preserve"> rural Nevada</w:t>
      </w:r>
      <w:r w:rsidR="4C7F324B">
        <w:t xml:space="preserve">, we participated in </w:t>
      </w:r>
      <w:r w:rsidR="0A898189">
        <w:t xml:space="preserve">February </w:t>
      </w:r>
      <w:r w:rsidR="4C7F324B">
        <w:t>in an online recruiting event with the Northwest Consortium of Law Schools</w:t>
      </w:r>
      <w:r w:rsidR="622E9F0D">
        <w:t>. We received several inquiries from law students there. We will continue to look for opportunities to promote our program</w:t>
      </w:r>
      <w:r w:rsidR="0037443F">
        <w:t xml:space="preserve"> here in Nevada and to our neighbors in the West</w:t>
      </w:r>
      <w:r w:rsidR="622E9F0D">
        <w:t xml:space="preserve">. </w:t>
      </w:r>
    </w:p>
    <w:p w14:paraId="4837B285" w14:textId="36C9F401" w:rsidR="00DE77D4" w:rsidRDefault="51F94EDA" w:rsidP="009C2276">
      <w:pPr>
        <w:pStyle w:val="DIDSParagraph"/>
      </w:pPr>
      <w:r>
        <w:t xml:space="preserve">We saw the growth of our LASSO program this year. </w:t>
      </w:r>
      <w:r w:rsidR="5E59A588">
        <w:t>Last</w:t>
      </w:r>
      <w:r w:rsidR="62DC7C43">
        <w:t xml:space="preserve"> fiscal year</w:t>
      </w:r>
      <w:r w:rsidR="00604C6E">
        <w:t xml:space="preserve"> (FY24)</w:t>
      </w:r>
      <w:r w:rsidR="62DC7C43">
        <w:t xml:space="preserve">, we </w:t>
      </w:r>
      <w:proofErr w:type="gramStart"/>
      <w:r w:rsidR="62DC7C43">
        <w:t>awarded</w:t>
      </w:r>
      <w:proofErr w:type="gramEnd"/>
      <w:r w:rsidR="62DC7C43">
        <w:t xml:space="preserve"> six </w:t>
      </w:r>
      <w:r w:rsidR="5E59A588">
        <w:t>stipends</w:t>
      </w:r>
      <w:r w:rsidR="399143C2">
        <w:t>.</w:t>
      </w:r>
      <w:r w:rsidR="5E59A588">
        <w:t xml:space="preserve"> This year</w:t>
      </w:r>
      <w:r w:rsidR="00604C6E">
        <w:t xml:space="preserve"> (FY25)</w:t>
      </w:r>
      <w:r w:rsidR="5E59A588">
        <w:t>, we have</w:t>
      </w:r>
      <w:r w:rsidR="33F37780">
        <w:t xml:space="preserve"> </w:t>
      </w:r>
      <w:r w:rsidR="79D13D55">
        <w:t xml:space="preserve">thus far </w:t>
      </w:r>
      <w:proofErr w:type="gramStart"/>
      <w:r w:rsidR="1850B170">
        <w:t>awarded</w:t>
      </w:r>
      <w:proofErr w:type="gramEnd"/>
      <w:r w:rsidR="33F37780">
        <w:t xml:space="preserve"> three Scout level (1L) stipends, five Trigger level (2L) stipends, and one Training Materials </w:t>
      </w:r>
      <w:r w:rsidR="72EE3CC3">
        <w:t>stipend to a recent law school graduate who has accep</w:t>
      </w:r>
      <w:r w:rsidR="73586B54">
        <w:t>t</w:t>
      </w:r>
      <w:r w:rsidR="72EE3CC3">
        <w:t>ed employment in a rural public defender office</w:t>
      </w:r>
      <w:r w:rsidR="560BD79B">
        <w:t xml:space="preserve"> (Carson City)</w:t>
      </w:r>
      <w:r w:rsidR="7A235B8D">
        <w:t>.</w:t>
      </w:r>
      <w:r w:rsidR="00734B20">
        <w:t xml:space="preserve"> </w:t>
      </w:r>
      <w:r w:rsidR="009C2276">
        <w:t>Based on the year-over-year increase, we only expect the program to continue to grow in the coming years.</w:t>
      </w:r>
    </w:p>
    <w:p w14:paraId="73829DB1" w14:textId="5A6522D8" w:rsidR="00DE77D4" w:rsidRDefault="00DE77D4" w:rsidP="00DE77D4">
      <w:pPr>
        <w:pStyle w:val="DIDSHeading"/>
      </w:pPr>
      <w:bookmarkStart w:id="15" w:name="_Toc201769360"/>
      <w:r>
        <w:t xml:space="preserve">New Projects: </w:t>
      </w:r>
      <w:r w:rsidR="00A34651">
        <w:t xml:space="preserve">Improving </w:t>
      </w:r>
      <w:r w:rsidR="00966DAB">
        <w:t>Service</w:t>
      </w:r>
      <w:bookmarkEnd w:id="15"/>
    </w:p>
    <w:p w14:paraId="42B7EAF4" w14:textId="77777777" w:rsidR="00BC6C7A" w:rsidRDefault="00BC6C7A" w:rsidP="00063BE5">
      <w:pPr>
        <w:pStyle w:val="DIDSParagraph"/>
      </w:pPr>
    </w:p>
    <w:p w14:paraId="6968F634" w14:textId="404DBA80" w:rsidR="00BF55EF" w:rsidRDefault="6FA923BA" w:rsidP="00063BE5">
      <w:pPr>
        <w:pStyle w:val="DIDSParagraph"/>
      </w:pPr>
      <w:r>
        <w:t>T</w:t>
      </w:r>
      <w:r w:rsidR="00063BE5">
        <w:t>he major changes the Department has seen in the last year</w:t>
      </w:r>
      <w:r w:rsidR="4477D23C">
        <w:t xml:space="preserve"> have made</w:t>
      </w:r>
      <w:r w:rsidR="00063BE5">
        <w:t xml:space="preserve"> it apparent that </w:t>
      </w:r>
      <w:r w:rsidR="000771C7">
        <w:t xml:space="preserve">we need to </w:t>
      </w:r>
      <w:r w:rsidR="003C02CD">
        <w:t xml:space="preserve">ensure that </w:t>
      </w:r>
      <w:r w:rsidR="000B3ACA">
        <w:t xml:space="preserve">we have </w:t>
      </w:r>
      <w:r w:rsidR="00372C87">
        <w:t xml:space="preserve">more comprehensive, </w:t>
      </w:r>
      <w:r w:rsidR="00A8125D">
        <w:t>recorded</w:t>
      </w:r>
      <w:r w:rsidR="00981D51">
        <w:t xml:space="preserve">, available </w:t>
      </w:r>
      <w:r w:rsidR="009C1DD3">
        <w:t xml:space="preserve">policies and procedures to </w:t>
      </w:r>
      <w:r w:rsidR="009220D1">
        <w:t xml:space="preserve">see that </w:t>
      </w:r>
      <w:r w:rsidR="009C1DD3">
        <w:t xml:space="preserve">our obligations are met. While certainly not </w:t>
      </w:r>
      <w:r w:rsidR="00290D86">
        <w:t>the most adventurous</w:t>
      </w:r>
      <w:r w:rsidR="00D347F2">
        <w:t xml:space="preserve"> </w:t>
      </w:r>
      <w:r w:rsidR="3B59A377">
        <w:t xml:space="preserve">of </w:t>
      </w:r>
      <w:r w:rsidR="00D347F2">
        <w:t xml:space="preserve">projects </w:t>
      </w:r>
      <w:r w:rsidR="00660620">
        <w:t>we could</w:t>
      </w:r>
      <w:r w:rsidR="00D347F2">
        <w:t xml:space="preserve"> be </w:t>
      </w:r>
      <w:r w:rsidR="00F6530F">
        <w:t>embarking on</w:t>
      </w:r>
      <w:r w:rsidR="00660620">
        <w:t xml:space="preserve">, it is fundamental that the Department offer consistency of service to the attorneys we support, </w:t>
      </w:r>
      <w:r w:rsidR="53220378">
        <w:t>attorneys know what to expect</w:t>
      </w:r>
      <w:r w:rsidR="00A95250">
        <w:t xml:space="preserve">, and </w:t>
      </w:r>
      <w:r w:rsidR="0057425C">
        <w:t xml:space="preserve">temporary or permanent staff changes don’t result in </w:t>
      </w:r>
      <w:r w:rsidR="00886630">
        <w:t>negative effects on our system of public defense.</w:t>
      </w:r>
      <w:r w:rsidR="002F3D20">
        <w:t xml:space="preserve"> While we are often striving to move the Department forward,</w:t>
      </w:r>
      <w:r w:rsidR="00863E3D">
        <w:t xml:space="preserve"> it’s often prudent that we </w:t>
      </w:r>
      <w:proofErr w:type="gramStart"/>
      <w:r w:rsidR="00863E3D">
        <w:t>take a look</w:t>
      </w:r>
      <w:proofErr w:type="gramEnd"/>
      <w:r w:rsidR="00863E3D">
        <w:t xml:space="preserve"> back on how we are performing our work, and what improvements could be made to our </w:t>
      </w:r>
      <w:r w:rsidR="00976300">
        <w:t>system to provide the best service we can.</w:t>
      </w:r>
    </w:p>
    <w:p w14:paraId="010A8EB9" w14:textId="57A86A10" w:rsidR="00620AFF" w:rsidRPr="00BC6C7A" w:rsidRDefault="00620AFF" w:rsidP="00620AFF">
      <w:pPr>
        <w:pStyle w:val="DIDSParagraph"/>
      </w:pPr>
      <w:r>
        <w:t xml:space="preserve">In the past several years, the Department has taken on many additional roles and responsibilities. In 2021, the Department began reviewing and approving requests </w:t>
      </w:r>
      <w:r>
        <w:lastRenderedPageBreak/>
        <w:t xml:space="preserve">for prior approval of retention of investigators and experts and for reviewing attorney claims for fees. In 2023, the </w:t>
      </w:r>
      <w:r w:rsidR="00047137">
        <w:t xml:space="preserve">method for determining each county’s maximum contribution amount changed, the Department was tasked with providing weekend and holiday stipend funding, and </w:t>
      </w:r>
      <w:r w:rsidR="006377AB">
        <w:t>we</w:t>
      </w:r>
      <w:r>
        <w:t xml:space="preserve"> took over the review and facilitation of payments for attorney fees in post-conviction cases due to a shortage of staff in the State Public Defender’s Office. In 2024, the Department hired and began reviewing the reports of the outreach advisors. Over the same </w:t>
      </w:r>
      <w:proofErr w:type="gramStart"/>
      <w:r>
        <w:t>time period</w:t>
      </w:r>
      <w:proofErr w:type="gramEnd"/>
      <w:r>
        <w:t xml:space="preserve">, the Department has seen substantial growth in the billing for appointed counsel and billing for hourly contracted counsel. Each of these changes came with steep learning curves and only minor increases in staff, which often </w:t>
      </w:r>
      <w:proofErr w:type="gramStart"/>
      <w:r>
        <w:t>lagged behind</w:t>
      </w:r>
      <w:proofErr w:type="gramEnd"/>
      <w:r>
        <w:t xml:space="preserve"> the increased responsibilities. While trying to ensure that the Department was getting the work completed, we weren’t as focused on </w:t>
      </w:r>
      <w:r w:rsidR="00F20DCF">
        <w:t>fully documenting</w:t>
      </w:r>
      <w:r>
        <w:t xml:space="preserve"> the processes we were using to fulfil these obligations</w:t>
      </w:r>
      <w:r w:rsidR="00F20DCF">
        <w:t xml:space="preserve">, resulting in them not being </w:t>
      </w:r>
      <w:r>
        <w:t xml:space="preserve">easily </w:t>
      </w:r>
      <w:r w:rsidR="00F94E87">
        <w:t xml:space="preserve">found or </w:t>
      </w:r>
      <w:r>
        <w:t>understood without significant training.</w:t>
      </w:r>
    </w:p>
    <w:p w14:paraId="0AF70F06" w14:textId="15F5D3DF" w:rsidR="00063BE5" w:rsidRDefault="00F94E87" w:rsidP="00063BE5">
      <w:pPr>
        <w:pStyle w:val="DIDSParagraph"/>
      </w:pPr>
      <w:r>
        <w:t xml:space="preserve">To </w:t>
      </w:r>
      <w:r w:rsidR="000B2564">
        <w:t>address</w:t>
      </w:r>
      <w:r w:rsidR="006377AB">
        <w:t xml:space="preserve"> </w:t>
      </w:r>
      <w:r w:rsidR="00AE6031">
        <w:t>these issues, we have begun reviewing and revising our policies, procedures, internal controls, and forms.</w:t>
      </w:r>
      <w:r w:rsidR="000B2564">
        <w:t xml:space="preserve"> </w:t>
      </w:r>
      <w:r>
        <w:t xml:space="preserve"> </w:t>
      </w:r>
      <w:r w:rsidR="00207807">
        <w:t xml:space="preserve">In the last year, the Department published Attorney Billing Guidelines, to </w:t>
      </w:r>
      <w:r w:rsidR="00B37ABA">
        <w:t xml:space="preserve">give attorneys, our </w:t>
      </w:r>
      <w:proofErr w:type="gramStart"/>
      <w:r w:rsidR="00B37ABA">
        <w:t>designees</w:t>
      </w:r>
      <w:proofErr w:type="gramEnd"/>
      <w:r w:rsidR="00B37ABA">
        <w:t xml:space="preserve">, and the counties </w:t>
      </w:r>
      <w:r w:rsidR="006645A9">
        <w:t>guidance on how we conduct our review of attorney fee requests.</w:t>
      </w:r>
      <w:r w:rsidR="00583F00">
        <w:t xml:space="preserve"> We have also developed </w:t>
      </w:r>
      <w:r w:rsidR="001C3A23">
        <w:t xml:space="preserve">a </w:t>
      </w:r>
      <w:r w:rsidR="008D3F21">
        <w:t xml:space="preserve">new </w:t>
      </w:r>
      <w:r w:rsidR="001C3A23">
        <w:t xml:space="preserve">system of forms, which, when used correctly, should save time for </w:t>
      </w:r>
      <w:r w:rsidR="008D3F21">
        <w:t xml:space="preserve">both </w:t>
      </w:r>
      <w:r w:rsidR="001C3A23">
        <w:t>the attorneys seeking payment</w:t>
      </w:r>
      <w:r w:rsidR="00F90698">
        <w:t xml:space="preserve"> and the Department</w:t>
      </w:r>
      <w:r w:rsidR="006F4188">
        <w:t xml:space="preserve">’s </w:t>
      </w:r>
      <w:r w:rsidR="008D3F21">
        <w:t>staff</w:t>
      </w:r>
      <w:r w:rsidR="00BC368E">
        <w:t xml:space="preserve"> who review the </w:t>
      </w:r>
      <w:r w:rsidR="00BF55EF">
        <w:t>claims</w:t>
      </w:r>
      <w:r w:rsidR="006F4188">
        <w:t>.</w:t>
      </w:r>
      <w:r w:rsidR="006645A9">
        <w:t xml:space="preserve"> </w:t>
      </w:r>
      <w:r w:rsidR="00BF55EF">
        <w:t>Currently u</w:t>
      </w:r>
      <w:r w:rsidR="006645A9">
        <w:t xml:space="preserve">nder development are Investigator and Expert Billing Guidelines, </w:t>
      </w:r>
      <w:r w:rsidR="003427F9">
        <w:t>to provide more guidance to attorneys who make requests for payment of expert and investigator expenses</w:t>
      </w:r>
      <w:r w:rsidR="003904C1">
        <w:t xml:space="preserve"> and designees and staff who review them.</w:t>
      </w:r>
      <w:r w:rsidR="003E7702">
        <w:t xml:space="preserve"> </w:t>
      </w:r>
      <w:r w:rsidR="005A63F8">
        <w:t xml:space="preserve">Taken together, these should allow </w:t>
      </w:r>
      <w:r w:rsidR="00D14D0D">
        <w:t xml:space="preserve">a </w:t>
      </w:r>
      <w:r w:rsidR="00317C13">
        <w:t>third party</w:t>
      </w:r>
      <w:r w:rsidR="00D14D0D">
        <w:t xml:space="preserve"> to review an approved or denied bill and identify why the conclusion was reache</w:t>
      </w:r>
      <w:r w:rsidR="00C01381">
        <w:t>d</w:t>
      </w:r>
      <w:r w:rsidR="00D14D0D">
        <w:t xml:space="preserve"> an</w:t>
      </w:r>
      <w:r w:rsidR="0016598D">
        <w:t xml:space="preserve">d what might be done to remedy any </w:t>
      </w:r>
      <w:r w:rsidR="00A8432A">
        <w:t>deficiencies.</w:t>
      </w:r>
    </w:p>
    <w:p w14:paraId="3C11B735" w14:textId="1EA62EDD" w:rsidR="00AF3C10" w:rsidRDefault="00AF3C10" w:rsidP="00063BE5">
      <w:pPr>
        <w:pStyle w:val="DIDSParagraph"/>
      </w:pPr>
      <w:r>
        <w:t>We are also going to be developing a full set of revised Departmental policies, to reflect the significant changes in the staffing and structure of the Department since many of the policies were first put into place in 201</w:t>
      </w:r>
      <w:r w:rsidR="008056B8">
        <w:t>9-2020. These changes will</w:t>
      </w:r>
      <w:r w:rsidR="00E421A8">
        <w:t>, of course,</w:t>
      </w:r>
      <w:r w:rsidR="008056B8">
        <w:t xml:space="preserve"> incorporate</w:t>
      </w:r>
      <w:r w:rsidR="00E421A8">
        <w:t xml:space="preserve"> those </w:t>
      </w:r>
      <w:r w:rsidR="00F70798">
        <w:t xml:space="preserve">changes </w:t>
      </w:r>
      <w:r w:rsidR="00E421A8">
        <w:t>typically seen when an agency reviews its policies, such as</w:t>
      </w:r>
      <w:r w:rsidR="00F70798">
        <w:t xml:space="preserve"> </w:t>
      </w:r>
      <w:r w:rsidR="00E421A8">
        <w:t xml:space="preserve">revised </w:t>
      </w:r>
      <w:r w:rsidR="00F70798">
        <w:t>internal controls</w:t>
      </w:r>
      <w:r w:rsidR="001F11FB">
        <w:t>,</w:t>
      </w:r>
      <w:r w:rsidR="00F70798">
        <w:t xml:space="preserve"> </w:t>
      </w:r>
      <w:r w:rsidR="001F11FB">
        <w:t xml:space="preserve">revisiting </w:t>
      </w:r>
      <w:r w:rsidR="00F70798">
        <w:t xml:space="preserve">employee </w:t>
      </w:r>
      <w:r w:rsidR="00E421A8">
        <w:t>authorizations</w:t>
      </w:r>
      <w:r w:rsidR="001F11FB">
        <w:t xml:space="preserve"> to certain types of information, and standardizing record-keeping</w:t>
      </w:r>
      <w:r w:rsidR="00E421A8">
        <w:t>.</w:t>
      </w:r>
      <w:r w:rsidR="00F70798">
        <w:t xml:space="preserve"> </w:t>
      </w:r>
      <w:r w:rsidR="00E421A8">
        <w:t>B</w:t>
      </w:r>
      <w:r w:rsidR="00F70798">
        <w:t xml:space="preserve">ut </w:t>
      </w:r>
      <w:r w:rsidR="00E421A8">
        <w:t>we will</w:t>
      </w:r>
      <w:r w:rsidR="00CD1DD0">
        <w:t xml:space="preserve"> also</w:t>
      </w:r>
      <w:r w:rsidR="00E421A8">
        <w:t xml:space="preserve"> </w:t>
      </w:r>
      <w:r w:rsidR="001F11FB">
        <w:t>be incorporating</w:t>
      </w:r>
      <w:r w:rsidR="00F70798">
        <w:t xml:space="preserve"> </w:t>
      </w:r>
      <w:r w:rsidR="008A389A">
        <w:t>best practices in indigent defense service oversight and delivery,</w:t>
      </w:r>
      <w:r w:rsidR="005D04A8">
        <w:t xml:space="preserve"> </w:t>
      </w:r>
      <w:r w:rsidR="00985602">
        <w:t>including</w:t>
      </w:r>
      <w:r w:rsidR="008F6B2C">
        <w:t xml:space="preserve"> clearly</w:t>
      </w:r>
      <w:r w:rsidR="00985602">
        <w:t xml:space="preserve"> incorporating </w:t>
      </w:r>
      <w:r w:rsidR="008F6B2C">
        <w:t xml:space="preserve">attorney </w:t>
      </w:r>
      <w:r w:rsidR="00985602">
        <w:t>workload</w:t>
      </w:r>
      <w:r w:rsidR="008F6B2C">
        <w:t>s</w:t>
      </w:r>
      <w:r w:rsidR="00985602">
        <w:t xml:space="preserve"> into the attorney selection process, </w:t>
      </w:r>
      <w:r w:rsidR="0013688E">
        <w:t xml:space="preserve">ensuring that the </w:t>
      </w:r>
      <w:r w:rsidR="00C73146">
        <w:t>review</w:t>
      </w:r>
      <w:r w:rsidR="0013688E">
        <w:t xml:space="preserve"> process</w:t>
      </w:r>
      <w:r w:rsidR="00C73146">
        <w:t xml:space="preserve"> of requests for investigators and experts </w:t>
      </w:r>
      <w:r w:rsidR="00563496">
        <w:t xml:space="preserve">are focused on </w:t>
      </w:r>
      <w:r w:rsidR="00BE789A">
        <w:t xml:space="preserve">each indigent defendant’s needs, and </w:t>
      </w:r>
      <w:r w:rsidR="002331F3">
        <w:t xml:space="preserve">including broad exceptions to rules, so </w:t>
      </w:r>
      <w:r w:rsidR="00431720">
        <w:t xml:space="preserve">that </w:t>
      </w:r>
      <w:r w:rsidR="00437687">
        <w:t xml:space="preserve">our decision-making doesn’t interfere with the autonomy of </w:t>
      </w:r>
      <w:r w:rsidR="00FD18E1">
        <w:t xml:space="preserve">defense counsel </w:t>
      </w:r>
      <w:r w:rsidR="00511B3F">
        <w:t xml:space="preserve">to work their cases as necessary and appropriate </w:t>
      </w:r>
      <w:r w:rsidR="00FD18E1">
        <w:t>or otherwise work to the detriment of a client.</w:t>
      </w:r>
    </w:p>
    <w:p w14:paraId="368E1328" w14:textId="60B39BB9" w:rsidR="00AE481F" w:rsidRDefault="009573AD" w:rsidP="00063BE5">
      <w:pPr>
        <w:pStyle w:val="DIDSParagraph"/>
      </w:pPr>
      <w:r>
        <w:lastRenderedPageBreak/>
        <w:t>Of course, we can’t do it all on our own.</w:t>
      </w:r>
      <w:r w:rsidR="00AE481F">
        <w:t xml:space="preserve"> </w:t>
      </w:r>
      <w:r>
        <w:t>W</w:t>
      </w:r>
      <w:r w:rsidR="00AE481F">
        <w:t>e will be</w:t>
      </w:r>
      <w:r>
        <w:t xml:space="preserve"> working with</w:t>
      </w:r>
      <w:r w:rsidR="0031562D">
        <w:t xml:space="preserve"> attorneys, county officials, </w:t>
      </w:r>
      <w:r w:rsidR="00CC0BC7">
        <w:t>academics, and our Board on Indigent Defense Services</w:t>
      </w:r>
      <w:r w:rsidR="00CB3B29">
        <w:t xml:space="preserve"> at nearly every step</w:t>
      </w:r>
      <w:r w:rsidR="00CC0BC7">
        <w:t xml:space="preserve"> to </w:t>
      </w:r>
      <w:r w:rsidR="00CB3B29">
        <w:t>obtain</w:t>
      </w:r>
      <w:r w:rsidR="00CC0BC7">
        <w:t xml:space="preserve"> perspective, guidance, recommendations, and </w:t>
      </w:r>
      <w:r w:rsidR="00E302A3">
        <w:t>troubleshooting.</w:t>
      </w:r>
      <w:r w:rsidR="004C1A57">
        <w:t xml:space="preserve"> We’re looking forward to continuing to work with </w:t>
      </w:r>
      <w:proofErr w:type="gramStart"/>
      <w:r w:rsidR="004C1A57">
        <w:t>all of</w:t>
      </w:r>
      <w:proofErr w:type="gramEnd"/>
      <w:r w:rsidR="004C1A57">
        <w:t xml:space="preserve"> our partners on these projects in the future!</w:t>
      </w:r>
    </w:p>
    <w:p w14:paraId="041DEC1D" w14:textId="77777777" w:rsidR="009C2276" w:rsidRDefault="009C2276" w:rsidP="00063BE5">
      <w:pPr>
        <w:pStyle w:val="DIDSParagraph"/>
      </w:pPr>
    </w:p>
    <w:p w14:paraId="49BC6F42" w14:textId="77777777" w:rsidR="00F06993" w:rsidRDefault="00F06993">
      <w:pPr>
        <w:rPr>
          <w:rFonts w:ascii="Century Schoolbook" w:eastAsiaTheme="majorEastAsia" w:hAnsi="Century Schoolbook" w:cstheme="majorBidi"/>
          <w:b/>
          <w:color w:val="0F4761" w:themeColor="accent1" w:themeShade="BF"/>
          <w:sz w:val="40"/>
          <w:szCs w:val="40"/>
        </w:rPr>
      </w:pPr>
      <w:r>
        <w:br w:type="page"/>
      </w:r>
    </w:p>
    <w:p w14:paraId="4612CE47" w14:textId="3D92F48C" w:rsidR="009C2276" w:rsidRDefault="00614D29" w:rsidP="009C2276">
      <w:pPr>
        <w:pStyle w:val="DIDSHeading"/>
      </w:pPr>
      <w:bookmarkStart w:id="16" w:name="_Toc201769361"/>
      <w:r>
        <w:lastRenderedPageBreak/>
        <w:t>Annual State and County Data:</w:t>
      </w:r>
      <w:bookmarkEnd w:id="16"/>
    </w:p>
    <w:sectPr w:rsidR="009C2276" w:rsidSect="00DE77D4">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A96F" w14:textId="77777777" w:rsidR="00972FEF" w:rsidRDefault="00972FEF" w:rsidP="00972FEF">
      <w:pPr>
        <w:spacing w:after="0" w:line="240" w:lineRule="auto"/>
      </w:pPr>
      <w:r>
        <w:separator/>
      </w:r>
    </w:p>
  </w:endnote>
  <w:endnote w:type="continuationSeparator" w:id="0">
    <w:p w14:paraId="709E7376" w14:textId="77777777" w:rsidR="00972FEF" w:rsidRDefault="00972FEF" w:rsidP="0097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Schoolbook" w:hAnsi="Century Schoolbook"/>
      </w:rPr>
      <w:id w:val="638779820"/>
      <w:docPartObj>
        <w:docPartGallery w:val="Page Numbers (Bottom of Page)"/>
        <w:docPartUnique/>
      </w:docPartObj>
    </w:sdtPr>
    <w:sdtEndPr/>
    <w:sdtContent>
      <w:sdt>
        <w:sdtPr>
          <w:rPr>
            <w:rFonts w:ascii="Century Schoolbook" w:hAnsi="Century Schoolbook"/>
          </w:rPr>
          <w:id w:val="-1769616900"/>
          <w:docPartObj>
            <w:docPartGallery w:val="Page Numbers (Top of Page)"/>
            <w:docPartUnique/>
          </w:docPartObj>
        </w:sdtPr>
        <w:sdtEndPr/>
        <w:sdtContent>
          <w:p w14:paraId="18934552" w14:textId="7ADFA3CA" w:rsidR="00A46A8B" w:rsidRDefault="00A46A8B" w:rsidP="002C1F9B">
            <w:pPr>
              <w:pStyle w:val="Footer"/>
              <w:jc w:val="right"/>
              <w:rPr>
                <w:rFonts w:ascii="Century Schoolbook" w:hAnsi="Century Schoolbook"/>
                <w:smallCaps/>
              </w:rPr>
            </w:pPr>
            <w:r>
              <w:rPr>
                <w:rFonts w:ascii="Century Schoolbook" w:hAnsi="Century Schoolbook"/>
              </w:rPr>
              <w:t>2025 A</w:t>
            </w:r>
            <w:r>
              <w:rPr>
                <w:rFonts w:ascii="Century Schoolbook" w:hAnsi="Century Schoolbook"/>
                <w:smallCaps/>
              </w:rPr>
              <w:t>nnual Report of the Department of Indigent Defense Services</w:t>
            </w:r>
          </w:p>
          <w:p w14:paraId="7427D0F2" w14:textId="593D1D20" w:rsidR="00DE77D4" w:rsidRPr="002C1F9B" w:rsidRDefault="00A46A8B" w:rsidP="002C1F9B">
            <w:pPr>
              <w:pStyle w:val="Footer"/>
              <w:jc w:val="right"/>
              <w:rPr>
                <w:rFonts w:ascii="Century Schoolbook" w:hAnsi="Century Schoolbook"/>
              </w:rPr>
            </w:pPr>
            <w:r>
              <w:rPr>
                <w:rFonts w:ascii="Century Schoolbook" w:hAnsi="Century Schoolbook"/>
                <w:smallCaps/>
              </w:rPr>
              <w:t xml:space="preserve"> </w:t>
            </w:r>
            <w:r w:rsidR="00DE77D4" w:rsidRPr="00DE77D4">
              <w:rPr>
                <w:rFonts w:ascii="Century Schoolbook" w:hAnsi="Century Schoolbook"/>
              </w:rPr>
              <w:t xml:space="preserve">Page </w:t>
            </w:r>
            <w:r w:rsidR="00DE77D4" w:rsidRPr="00DE77D4">
              <w:rPr>
                <w:rFonts w:ascii="Century Schoolbook" w:hAnsi="Century Schoolbook"/>
                <w:b/>
                <w:bCs/>
              </w:rPr>
              <w:fldChar w:fldCharType="begin"/>
            </w:r>
            <w:r w:rsidR="00DE77D4" w:rsidRPr="00DE77D4">
              <w:rPr>
                <w:rFonts w:ascii="Century Schoolbook" w:hAnsi="Century Schoolbook"/>
                <w:b/>
                <w:bCs/>
              </w:rPr>
              <w:instrText xml:space="preserve"> PAGE </w:instrText>
            </w:r>
            <w:r w:rsidR="00DE77D4" w:rsidRPr="00DE77D4">
              <w:rPr>
                <w:rFonts w:ascii="Century Schoolbook" w:hAnsi="Century Schoolbook"/>
                <w:b/>
                <w:bCs/>
              </w:rPr>
              <w:fldChar w:fldCharType="separate"/>
            </w:r>
            <w:r w:rsidR="00DE77D4" w:rsidRPr="00DE77D4">
              <w:rPr>
                <w:rFonts w:ascii="Century Schoolbook" w:hAnsi="Century Schoolbook"/>
                <w:b/>
                <w:bCs/>
                <w:noProof/>
              </w:rPr>
              <w:t>2</w:t>
            </w:r>
            <w:r w:rsidR="00DE77D4" w:rsidRPr="00DE77D4">
              <w:rPr>
                <w:rFonts w:ascii="Century Schoolbook" w:hAnsi="Century Schoolbook"/>
                <w:b/>
                <w:bCs/>
              </w:rPr>
              <w:fldChar w:fldCharType="end"/>
            </w:r>
            <w:r w:rsidR="00DE77D4" w:rsidRPr="00DE77D4">
              <w:rPr>
                <w:rFonts w:ascii="Century Schoolbook" w:hAnsi="Century Schoolbook"/>
              </w:rPr>
              <w:t xml:space="preserve"> of </w:t>
            </w:r>
            <w:r w:rsidR="00DE77D4" w:rsidRPr="00DE77D4">
              <w:rPr>
                <w:rFonts w:ascii="Century Schoolbook" w:hAnsi="Century Schoolbook"/>
                <w:b/>
                <w:bCs/>
              </w:rPr>
              <w:fldChar w:fldCharType="begin"/>
            </w:r>
            <w:r w:rsidR="00DE77D4" w:rsidRPr="00DE77D4">
              <w:rPr>
                <w:rFonts w:ascii="Century Schoolbook" w:hAnsi="Century Schoolbook"/>
                <w:b/>
                <w:bCs/>
              </w:rPr>
              <w:instrText xml:space="preserve"> NUMPAGES  </w:instrText>
            </w:r>
            <w:r w:rsidR="00DE77D4" w:rsidRPr="00DE77D4">
              <w:rPr>
                <w:rFonts w:ascii="Century Schoolbook" w:hAnsi="Century Schoolbook"/>
                <w:b/>
                <w:bCs/>
              </w:rPr>
              <w:fldChar w:fldCharType="separate"/>
            </w:r>
            <w:r w:rsidR="00DE77D4" w:rsidRPr="00DE77D4">
              <w:rPr>
                <w:rFonts w:ascii="Century Schoolbook" w:hAnsi="Century Schoolbook"/>
                <w:b/>
                <w:bCs/>
                <w:noProof/>
              </w:rPr>
              <w:t>2</w:t>
            </w:r>
            <w:r w:rsidR="00DE77D4" w:rsidRPr="00DE77D4">
              <w:rPr>
                <w:rFonts w:ascii="Century Schoolbook" w:hAnsi="Century Schoolbook"/>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6027" w14:textId="77777777" w:rsidR="00972FEF" w:rsidRDefault="00972FEF" w:rsidP="00972FEF">
      <w:pPr>
        <w:spacing w:after="0" w:line="240" w:lineRule="auto"/>
      </w:pPr>
      <w:r>
        <w:separator/>
      </w:r>
    </w:p>
  </w:footnote>
  <w:footnote w:type="continuationSeparator" w:id="0">
    <w:p w14:paraId="45B7A5D0" w14:textId="77777777" w:rsidR="00972FEF" w:rsidRDefault="00972FEF" w:rsidP="00972FEF">
      <w:pPr>
        <w:spacing w:after="0" w:line="240" w:lineRule="auto"/>
      </w:pPr>
      <w:r>
        <w:continuationSeparator/>
      </w:r>
    </w:p>
  </w:footnote>
  <w:footnote w:id="1">
    <w:p w14:paraId="4FFE54FE" w14:textId="6FDE971F" w:rsidR="00972FEF" w:rsidRPr="00DE77D4" w:rsidRDefault="00972FEF">
      <w:pPr>
        <w:pStyle w:val="FootnoteText"/>
        <w:rPr>
          <w:rFonts w:ascii="Century Schoolbook" w:hAnsi="Century Schoolbook"/>
        </w:rPr>
      </w:pPr>
      <w:r w:rsidRPr="00DE77D4">
        <w:rPr>
          <w:rStyle w:val="FootnoteReference"/>
          <w:rFonts w:ascii="Century Schoolbook" w:hAnsi="Century Schoolbook"/>
          <w:sz w:val="24"/>
          <w:szCs w:val="24"/>
        </w:rPr>
        <w:footnoteRef/>
      </w:r>
      <w:r w:rsidRPr="00DE77D4">
        <w:rPr>
          <w:rFonts w:ascii="Century Schoolbook" w:hAnsi="Century Schoolbook"/>
          <w:sz w:val="24"/>
          <w:szCs w:val="24"/>
        </w:rPr>
        <w:t xml:space="preserve"> Kermit the Frog, playing Bob Cratchit</w:t>
      </w:r>
      <w:r w:rsidR="001F44E5" w:rsidRPr="00DE77D4">
        <w:rPr>
          <w:rFonts w:ascii="Century Schoolbook" w:hAnsi="Century Schoolbook"/>
          <w:sz w:val="24"/>
          <w:szCs w:val="24"/>
        </w:rPr>
        <w:t>,</w:t>
      </w:r>
      <w:r w:rsidRPr="00DE77D4">
        <w:rPr>
          <w:rFonts w:ascii="Century Schoolbook" w:hAnsi="Century Schoolbook"/>
          <w:sz w:val="24"/>
          <w:szCs w:val="24"/>
        </w:rPr>
        <w:t xml:space="preserve"> </w:t>
      </w:r>
      <w:r w:rsidR="001F44E5" w:rsidRPr="00DE77D4">
        <w:rPr>
          <w:rFonts w:ascii="Century Schoolbook" w:hAnsi="Century Schoolbook"/>
          <w:smallCaps/>
          <w:sz w:val="24"/>
          <w:szCs w:val="24"/>
        </w:rPr>
        <w:t>The Muppet Christmas Carol</w:t>
      </w:r>
      <w:r w:rsidR="001F44E5" w:rsidRPr="00DE77D4">
        <w:rPr>
          <w:rFonts w:ascii="Century Schoolbook" w:hAnsi="Century Schoolbook"/>
          <w:sz w:val="24"/>
          <w:szCs w:val="24"/>
        </w:rPr>
        <w:t xml:space="preserve"> (Jim Henson Productions &amp; Walt Disney Pictures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02"/>
    <w:rsid w:val="00001A7F"/>
    <w:rsid w:val="00006383"/>
    <w:rsid w:val="00006F80"/>
    <w:rsid w:val="00013B68"/>
    <w:rsid w:val="000156E2"/>
    <w:rsid w:val="000162F8"/>
    <w:rsid w:val="000163A6"/>
    <w:rsid w:val="00017A37"/>
    <w:rsid w:val="00020F12"/>
    <w:rsid w:val="00023392"/>
    <w:rsid w:val="00023943"/>
    <w:rsid w:val="00023BB5"/>
    <w:rsid w:val="00027972"/>
    <w:rsid w:val="00027D73"/>
    <w:rsid w:val="00030C09"/>
    <w:rsid w:val="000318DC"/>
    <w:rsid w:val="00031F5D"/>
    <w:rsid w:val="000323B9"/>
    <w:rsid w:val="0003459D"/>
    <w:rsid w:val="00042287"/>
    <w:rsid w:val="00043E88"/>
    <w:rsid w:val="00045E72"/>
    <w:rsid w:val="000469E9"/>
    <w:rsid w:val="00047137"/>
    <w:rsid w:val="00047339"/>
    <w:rsid w:val="00047A00"/>
    <w:rsid w:val="00053A58"/>
    <w:rsid w:val="000560CA"/>
    <w:rsid w:val="00057054"/>
    <w:rsid w:val="00060600"/>
    <w:rsid w:val="00062268"/>
    <w:rsid w:val="00062B7D"/>
    <w:rsid w:val="00063ACA"/>
    <w:rsid w:val="00063BE5"/>
    <w:rsid w:val="00064E34"/>
    <w:rsid w:val="0006774D"/>
    <w:rsid w:val="0006DF7F"/>
    <w:rsid w:val="0007033D"/>
    <w:rsid w:val="0007034C"/>
    <w:rsid w:val="00074463"/>
    <w:rsid w:val="000771C7"/>
    <w:rsid w:val="00077A55"/>
    <w:rsid w:val="00077A67"/>
    <w:rsid w:val="00077CBD"/>
    <w:rsid w:val="0008032E"/>
    <w:rsid w:val="00082693"/>
    <w:rsid w:val="0008299B"/>
    <w:rsid w:val="000829B7"/>
    <w:rsid w:val="00084CE6"/>
    <w:rsid w:val="00090DE3"/>
    <w:rsid w:val="00091802"/>
    <w:rsid w:val="00092FD5"/>
    <w:rsid w:val="00096E42"/>
    <w:rsid w:val="00097CC3"/>
    <w:rsid w:val="000A0581"/>
    <w:rsid w:val="000A278E"/>
    <w:rsid w:val="000A5391"/>
    <w:rsid w:val="000A56E2"/>
    <w:rsid w:val="000B2564"/>
    <w:rsid w:val="000B3ACA"/>
    <w:rsid w:val="000C1F7D"/>
    <w:rsid w:val="000C5BDE"/>
    <w:rsid w:val="000C5E7F"/>
    <w:rsid w:val="000C6C38"/>
    <w:rsid w:val="000C765D"/>
    <w:rsid w:val="000C7A92"/>
    <w:rsid w:val="000D2FFA"/>
    <w:rsid w:val="000D4DE8"/>
    <w:rsid w:val="000D62C9"/>
    <w:rsid w:val="000D64E9"/>
    <w:rsid w:val="000E01D4"/>
    <w:rsid w:val="000E25C8"/>
    <w:rsid w:val="000E3858"/>
    <w:rsid w:val="000E5F0D"/>
    <w:rsid w:val="000F07F1"/>
    <w:rsid w:val="000F0A50"/>
    <w:rsid w:val="000F68EF"/>
    <w:rsid w:val="001008F0"/>
    <w:rsid w:val="00104B4E"/>
    <w:rsid w:val="00105D18"/>
    <w:rsid w:val="0010743A"/>
    <w:rsid w:val="00111515"/>
    <w:rsid w:val="00111AD1"/>
    <w:rsid w:val="00112EAE"/>
    <w:rsid w:val="0011362E"/>
    <w:rsid w:val="001206B0"/>
    <w:rsid w:val="00121E52"/>
    <w:rsid w:val="00122CD2"/>
    <w:rsid w:val="0012325A"/>
    <w:rsid w:val="00124C70"/>
    <w:rsid w:val="00126729"/>
    <w:rsid w:val="001268E0"/>
    <w:rsid w:val="00131011"/>
    <w:rsid w:val="001325DB"/>
    <w:rsid w:val="00132AEE"/>
    <w:rsid w:val="00135573"/>
    <w:rsid w:val="00135BD3"/>
    <w:rsid w:val="00135F25"/>
    <w:rsid w:val="0013688E"/>
    <w:rsid w:val="00137560"/>
    <w:rsid w:val="001466F5"/>
    <w:rsid w:val="00147869"/>
    <w:rsid w:val="001517A3"/>
    <w:rsid w:val="00151A71"/>
    <w:rsid w:val="001532E3"/>
    <w:rsid w:val="00153ADB"/>
    <w:rsid w:val="00156895"/>
    <w:rsid w:val="0015751C"/>
    <w:rsid w:val="0016003D"/>
    <w:rsid w:val="00162388"/>
    <w:rsid w:val="0016487D"/>
    <w:rsid w:val="0016598D"/>
    <w:rsid w:val="00167713"/>
    <w:rsid w:val="00170DE0"/>
    <w:rsid w:val="001730C4"/>
    <w:rsid w:val="00173469"/>
    <w:rsid w:val="001777A3"/>
    <w:rsid w:val="00190FCB"/>
    <w:rsid w:val="00191117"/>
    <w:rsid w:val="00191C2F"/>
    <w:rsid w:val="0019203B"/>
    <w:rsid w:val="00193F96"/>
    <w:rsid w:val="00195236"/>
    <w:rsid w:val="001956AB"/>
    <w:rsid w:val="001A04FD"/>
    <w:rsid w:val="001A3E2B"/>
    <w:rsid w:val="001A3FAC"/>
    <w:rsid w:val="001A53F0"/>
    <w:rsid w:val="001A670D"/>
    <w:rsid w:val="001A7D95"/>
    <w:rsid w:val="001B6F53"/>
    <w:rsid w:val="001C233F"/>
    <w:rsid w:val="001C3A23"/>
    <w:rsid w:val="001C4E5B"/>
    <w:rsid w:val="001C4F59"/>
    <w:rsid w:val="001C70DB"/>
    <w:rsid w:val="001D0405"/>
    <w:rsid w:val="001D3625"/>
    <w:rsid w:val="001E4193"/>
    <w:rsid w:val="001F0B66"/>
    <w:rsid w:val="001F11FB"/>
    <w:rsid w:val="001F44E5"/>
    <w:rsid w:val="001F6377"/>
    <w:rsid w:val="00202AAF"/>
    <w:rsid w:val="00202F2E"/>
    <w:rsid w:val="002058DC"/>
    <w:rsid w:val="00207807"/>
    <w:rsid w:val="002110F0"/>
    <w:rsid w:val="00213AC6"/>
    <w:rsid w:val="00213D5B"/>
    <w:rsid w:val="00215DC7"/>
    <w:rsid w:val="002170A1"/>
    <w:rsid w:val="00220C1F"/>
    <w:rsid w:val="00221F49"/>
    <w:rsid w:val="0022211D"/>
    <w:rsid w:val="0023125F"/>
    <w:rsid w:val="00231A5E"/>
    <w:rsid w:val="0023286D"/>
    <w:rsid w:val="00232E92"/>
    <w:rsid w:val="002331F3"/>
    <w:rsid w:val="002334C7"/>
    <w:rsid w:val="00234326"/>
    <w:rsid w:val="00234FFD"/>
    <w:rsid w:val="002352D6"/>
    <w:rsid w:val="00235D1A"/>
    <w:rsid w:val="00236D4C"/>
    <w:rsid w:val="002374B4"/>
    <w:rsid w:val="002376A2"/>
    <w:rsid w:val="00243ED9"/>
    <w:rsid w:val="0025072C"/>
    <w:rsid w:val="00250EF4"/>
    <w:rsid w:val="00255C35"/>
    <w:rsid w:val="00261307"/>
    <w:rsid w:val="002637E9"/>
    <w:rsid w:val="0026680A"/>
    <w:rsid w:val="00267B05"/>
    <w:rsid w:val="0027192F"/>
    <w:rsid w:val="002739F5"/>
    <w:rsid w:val="002742F1"/>
    <w:rsid w:val="00274408"/>
    <w:rsid w:val="00281E01"/>
    <w:rsid w:val="00284C31"/>
    <w:rsid w:val="00286FE8"/>
    <w:rsid w:val="00287C5D"/>
    <w:rsid w:val="00290D86"/>
    <w:rsid w:val="00291C57"/>
    <w:rsid w:val="00292F44"/>
    <w:rsid w:val="00293CFE"/>
    <w:rsid w:val="0029776B"/>
    <w:rsid w:val="002A2B3C"/>
    <w:rsid w:val="002A4139"/>
    <w:rsid w:val="002A668E"/>
    <w:rsid w:val="002B026B"/>
    <w:rsid w:val="002B13BF"/>
    <w:rsid w:val="002B3001"/>
    <w:rsid w:val="002B529D"/>
    <w:rsid w:val="002B68B8"/>
    <w:rsid w:val="002C1A90"/>
    <w:rsid w:val="002C1F9B"/>
    <w:rsid w:val="002C62D8"/>
    <w:rsid w:val="002D5877"/>
    <w:rsid w:val="002D5C62"/>
    <w:rsid w:val="002E2320"/>
    <w:rsid w:val="002F1C1F"/>
    <w:rsid w:val="002F2F50"/>
    <w:rsid w:val="002F3D20"/>
    <w:rsid w:val="002F4616"/>
    <w:rsid w:val="002F6B9D"/>
    <w:rsid w:val="002F75C1"/>
    <w:rsid w:val="00300D9D"/>
    <w:rsid w:val="00302E7B"/>
    <w:rsid w:val="00306087"/>
    <w:rsid w:val="0030651B"/>
    <w:rsid w:val="003072B0"/>
    <w:rsid w:val="00310E34"/>
    <w:rsid w:val="00314257"/>
    <w:rsid w:val="003151DB"/>
    <w:rsid w:val="003151DD"/>
    <w:rsid w:val="0031562D"/>
    <w:rsid w:val="00317C13"/>
    <w:rsid w:val="003206E0"/>
    <w:rsid w:val="0032117A"/>
    <w:rsid w:val="003236F9"/>
    <w:rsid w:val="00324BC3"/>
    <w:rsid w:val="003334F8"/>
    <w:rsid w:val="003337A4"/>
    <w:rsid w:val="0033523E"/>
    <w:rsid w:val="003353C8"/>
    <w:rsid w:val="00335D5B"/>
    <w:rsid w:val="003401B5"/>
    <w:rsid w:val="003427F9"/>
    <w:rsid w:val="00350A16"/>
    <w:rsid w:val="00351527"/>
    <w:rsid w:val="0035413C"/>
    <w:rsid w:val="00355465"/>
    <w:rsid w:val="00355791"/>
    <w:rsid w:val="00355A89"/>
    <w:rsid w:val="00357CD2"/>
    <w:rsid w:val="00360698"/>
    <w:rsid w:val="00365E4F"/>
    <w:rsid w:val="00366702"/>
    <w:rsid w:val="00370D3A"/>
    <w:rsid w:val="0037223B"/>
    <w:rsid w:val="00372C87"/>
    <w:rsid w:val="0037443F"/>
    <w:rsid w:val="00376BD4"/>
    <w:rsid w:val="00384170"/>
    <w:rsid w:val="00386017"/>
    <w:rsid w:val="003875B7"/>
    <w:rsid w:val="003904C1"/>
    <w:rsid w:val="003939E3"/>
    <w:rsid w:val="00394749"/>
    <w:rsid w:val="003A3A21"/>
    <w:rsid w:val="003A3D40"/>
    <w:rsid w:val="003A53D0"/>
    <w:rsid w:val="003A6115"/>
    <w:rsid w:val="003B0C5A"/>
    <w:rsid w:val="003B2444"/>
    <w:rsid w:val="003B2BCC"/>
    <w:rsid w:val="003B44C3"/>
    <w:rsid w:val="003B6CE4"/>
    <w:rsid w:val="003B7566"/>
    <w:rsid w:val="003B78F5"/>
    <w:rsid w:val="003C02CD"/>
    <w:rsid w:val="003C06F5"/>
    <w:rsid w:val="003C3AEE"/>
    <w:rsid w:val="003C403B"/>
    <w:rsid w:val="003C679B"/>
    <w:rsid w:val="003D25F5"/>
    <w:rsid w:val="003D4E04"/>
    <w:rsid w:val="003E045A"/>
    <w:rsid w:val="003E1117"/>
    <w:rsid w:val="003E1F8E"/>
    <w:rsid w:val="003E298B"/>
    <w:rsid w:val="003E2CA8"/>
    <w:rsid w:val="003E2D60"/>
    <w:rsid w:val="003E5F6F"/>
    <w:rsid w:val="003E7336"/>
    <w:rsid w:val="003E75B1"/>
    <w:rsid w:val="003E7702"/>
    <w:rsid w:val="003E791D"/>
    <w:rsid w:val="003F066F"/>
    <w:rsid w:val="003F2359"/>
    <w:rsid w:val="003F2ADD"/>
    <w:rsid w:val="00405223"/>
    <w:rsid w:val="0041337B"/>
    <w:rsid w:val="00414064"/>
    <w:rsid w:val="00415E25"/>
    <w:rsid w:val="00416456"/>
    <w:rsid w:val="0042003C"/>
    <w:rsid w:val="00420855"/>
    <w:rsid w:val="00420A00"/>
    <w:rsid w:val="004262C8"/>
    <w:rsid w:val="0042681B"/>
    <w:rsid w:val="00431720"/>
    <w:rsid w:val="00437687"/>
    <w:rsid w:val="00444A2C"/>
    <w:rsid w:val="004466A1"/>
    <w:rsid w:val="0044705F"/>
    <w:rsid w:val="00447AC5"/>
    <w:rsid w:val="00451AC0"/>
    <w:rsid w:val="00454E1D"/>
    <w:rsid w:val="00457E6D"/>
    <w:rsid w:val="004657AD"/>
    <w:rsid w:val="00465EE7"/>
    <w:rsid w:val="00471768"/>
    <w:rsid w:val="004741DA"/>
    <w:rsid w:val="004747F3"/>
    <w:rsid w:val="00480EEE"/>
    <w:rsid w:val="00481845"/>
    <w:rsid w:val="004829AE"/>
    <w:rsid w:val="00490AEA"/>
    <w:rsid w:val="00490C6B"/>
    <w:rsid w:val="00492B5E"/>
    <w:rsid w:val="004972BA"/>
    <w:rsid w:val="004A05A6"/>
    <w:rsid w:val="004A175C"/>
    <w:rsid w:val="004A2788"/>
    <w:rsid w:val="004A635C"/>
    <w:rsid w:val="004B12B2"/>
    <w:rsid w:val="004B734D"/>
    <w:rsid w:val="004C0D76"/>
    <w:rsid w:val="004C1A57"/>
    <w:rsid w:val="004C44CE"/>
    <w:rsid w:val="004C4A2A"/>
    <w:rsid w:val="004C5F63"/>
    <w:rsid w:val="004C7A31"/>
    <w:rsid w:val="004D0B63"/>
    <w:rsid w:val="004D0FAC"/>
    <w:rsid w:val="004D1B67"/>
    <w:rsid w:val="004D20D7"/>
    <w:rsid w:val="004D35A6"/>
    <w:rsid w:val="004D4D9A"/>
    <w:rsid w:val="004D6FCB"/>
    <w:rsid w:val="004E16C5"/>
    <w:rsid w:val="004E220F"/>
    <w:rsid w:val="004E2432"/>
    <w:rsid w:val="004E2651"/>
    <w:rsid w:val="004E51D6"/>
    <w:rsid w:val="004E51DC"/>
    <w:rsid w:val="004E73DF"/>
    <w:rsid w:val="004F1E35"/>
    <w:rsid w:val="004F26C8"/>
    <w:rsid w:val="004F3136"/>
    <w:rsid w:val="004F317B"/>
    <w:rsid w:val="004F39AC"/>
    <w:rsid w:val="004F7347"/>
    <w:rsid w:val="005017E2"/>
    <w:rsid w:val="0050318B"/>
    <w:rsid w:val="00506369"/>
    <w:rsid w:val="00511A40"/>
    <w:rsid w:val="00511B3F"/>
    <w:rsid w:val="00513270"/>
    <w:rsid w:val="005216DC"/>
    <w:rsid w:val="00523EDD"/>
    <w:rsid w:val="00524D09"/>
    <w:rsid w:val="00535D12"/>
    <w:rsid w:val="00535F28"/>
    <w:rsid w:val="00537879"/>
    <w:rsid w:val="00541D57"/>
    <w:rsid w:val="005434AC"/>
    <w:rsid w:val="0054421F"/>
    <w:rsid w:val="00546122"/>
    <w:rsid w:val="0054644C"/>
    <w:rsid w:val="00552DE8"/>
    <w:rsid w:val="00557494"/>
    <w:rsid w:val="00562CE0"/>
    <w:rsid w:val="00563095"/>
    <w:rsid w:val="005631FB"/>
    <w:rsid w:val="00563496"/>
    <w:rsid w:val="005638F5"/>
    <w:rsid w:val="005642D0"/>
    <w:rsid w:val="005706BA"/>
    <w:rsid w:val="005709D7"/>
    <w:rsid w:val="0057425C"/>
    <w:rsid w:val="00577E5C"/>
    <w:rsid w:val="005813B6"/>
    <w:rsid w:val="00583F00"/>
    <w:rsid w:val="00584B39"/>
    <w:rsid w:val="00586526"/>
    <w:rsid w:val="005916F9"/>
    <w:rsid w:val="005935E2"/>
    <w:rsid w:val="0059371E"/>
    <w:rsid w:val="00597B55"/>
    <w:rsid w:val="005A45B2"/>
    <w:rsid w:val="005A4CB0"/>
    <w:rsid w:val="005A63F8"/>
    <w:rsid w:val="005A6C60"/>
    <w:rsid w:val="005A773F"/>
    <w:rsid w:val="005B195B"/>
    <w:rsid w:val="005C0A0C"/>
    <w:rsid w:val="005D04A8"/>
    <w:rsid w:val="005D14C1"/>
    <w:rsid w:val="005D392D"/>
    <w:rsid w:val="005E0DEE"/>
    <w:rsid w:val="005E2632"/>
    <w:rsid w:val="005F512D"/>
    <w:rsid w:val="005F6F3D"/>
    <w:rsid w:val="00604C6E"/>
    <w:rsid w:val="00613705"/>
    <w:rsid w:val="00614D29"/>
    <w:rsid w:val="00617799"/>
    <w:rsid w:val="00620AFF"/>
    <w:rsid w:val="00621391"/>
    <w:rsid w:val="00621661"/>
    <w:rsid w:val="0063081A"/>
    <w:rsid w:val="006320D7"/>
    <w:rsid w:val="006327A9"/>
    <w:rsid w:val="00634D0B"/>
    <w:rsid w:val="006355CD"/>
    <w:rsid w:val="006377AB"/>
    <w:rsid w:val="00645010"/>
    <w:rsid w:val="00646937"/>
    <w:rsid w:val="00647D3E"/>
    <w:rsid w:val="00650B62"/>
    <w:rsid w:val="00654ED6"/>
    <w:rsid w:val="00660620"/>
    <w:rsid w:val="006645A9"/>
    <w:rsid w:val="00665657"/>
    <w:rsid w:val="00666E4F"/>
    <w:rsid w:val="00674C68"/>
    <w:rsid w:val="00675155"/>
    <w:rsid w:val="00677D6A"/>
    <w:rsid w:val="00681D53"/>
    <w:rsid w:val="006846D7"/>
    <w:rsid w:val="00684982"/>
    <w:rsid w:val="006940EE"/>
    <w:rsid w:val="00695752"/>
    <w:rsid w:val="00695CB8"/>
    <w:rsid w:val="00697836"/>
    <w:rsid w:val="006A320B"/>
    <w:rsid w:val="006A49A6"/>
    <w:rsid w:val="006A52B9"/>
    <w:rsid w:val="006A67BE"/>
    <w:rsid w:val="006B174C"/>
    <w:rsid w:val="006B23EA"/>
    <w:rsid w:val="006B3BDF"/>
    <w:rsid w:val="006B538B"/>
    <w:rsid w:val="006B62D7"/>
    <w:rsid w:val="006B66CB"/>
    <w:rsid w:val="006B716B"/>
    <w:rsid w:val="006C4C8F"/>
    <w:rsid w:val="006C5419"/>
    <w:rsid w:val="006D38CF"/>
    <w:rsid w:val="006E1C98"/>
    <w:rsid w:val="006E2E13"/>
    <w:rsid w:val="006E3211"/>
    <w:rsid w:val="006E3FC5"/>
    <w:rsid w:val="006E58C2"/>
    <w:rsid w:val="006E65AB"/>
    <w:rsid w:val="006F0C90"/>
    <w:rsid w:val="006F18B9"/>
    <w:rsid w:val="006F22C2"/>
    <w:rsid w:val="006F2AC5"/>
    <w:rsid w:val="006F4188"/>
    <w:rsid w:val="006F6618"/>
    <w:rsid w:val="006F6C86"/>
    <w:rsid w:val="006F760B"/>
    <w:rsid w:val="00703AAF"/>
    <w:rsid w:val="00705600"/>
    <w:rsid w:val="0070617C"/>
    <w:rsid w:val="00711160"/>
    <w:rsid w:val="00711EA4"/>
    <w:rsid w:val="0072022E"/>
    <w:rsid w:val="00720EC9"/>
    <w:rsid w:val="007212A2"/>
    <w:rsid w:val="00722FE5"/>
    <w:rsid w:val="0073390E"/>
    <w:rsid w:val="00734B20"/>
    <w:rsid w:val="00734E67"/>
    <w:rsid w:val="00734F63"/>
    <w:rsid w:val="0074193B"/>
    <w:rsid w:val="00743A86"/>
    <w:rsid w:val="00744A03"/>
    <w:rsid w:val="00744BF0"/>
    <w:rsid w:val="007477E5"/>
    <w:rsid w:val="0075110B"/>
    <w:rsid w:val="00756868"/>
    <w:rsid w:val="00761DB2"/>
    <w:rsid w:val="00762414"/>
    <w:rsid w:val="00764B50"/>
    <w:rsid w:val="00765C58"/>
    <w:rsid w:val="0076601F"/>
    <w:rsid w:val="007661C3"/>
    <w:rsid w:val="00767223"/>
    <w:rsid w:val="00767561"/>
    <w:rsid w:val="00767A43"/>
    <w:rsid w:val="007704C7"/>
    <w:rsid w:val="007727AB"/>
    <w:rsid w:val="00773158"/>
    <w:rsid w:val="007753CF"/>
    <w:rsid w:val="00783470"/>
    <w:rsid w:val="007851F7"/>
    <w:rsid w:val="007855FD"/>
    <w:rsid w:val="0078606E"/>
    <w:rsid w:val="00786486"/>
    <w:rsid w:val="00787806"/>
    <w:rsid w:val="00787D14"/>
    <w:rsid w:val="00793B11"/>
    <w:rsid w:val="007944D2"/>
    <w:rsid w:val="00794D28"/>
    <w:rsid w:val="007A7A00"/>
    <w:rsid w:val="007B06B4"/>
    <w:rsid w:val="007B1CED"/>
    <w:rsid w:val="007B2F2E"/>
    <w:rsid w:val="007B7E65"/>
    <w:rsid w:val="007C013A"/>
    <w:rsid w:val="007C336C"/>
    <w:rsid w:val="007C3F02"/>
    <w:rsid w:val="007C6ACC"/>
    <w:rsid w:val="007C6F54"/>
    <w:rsid w:val="007D0152"/>
    <w:rsid w:val="007D2172"/>
    <w:rsid w:val="007D2931"/>
    <w:rsid w:val="007D5A79"/>
    <w:rsid w:val="007E21F3"/>
    <w:rsid w:val="007E5FDC"/>
    <w:rsid w:val="007E6AA3"/>
    <w:rsid w:val="007E6B04"/>
    <w:rsid w:val="007F5BB3"/>
    <w:rsid w:val="00800494"/>
    <w:rsid w:val="0080074A"/>
    <w:rsid w:val="008056B8"/>
    <w:rsid w:val="00806805"/>
    <w:rsid w:val="00806F63"/>
    <w:rsid w:val="0080708D"/>
    <w:rsid w:val="008110B6"/>
    <w:rsid w:val="0081137F"/>
    <w:rsid w:val="00817F93"/>
    <w:rsid w:val="00823305"/>
    <w:rsid w:val="00823352"/>
    <w:rsid w:val="0083060E"/>
    <w:rsid w:val="00830E48"/>
    <w:rsid w:val="00833AE2"/>
    <w:rsid w:val="008350EE"/>
    <w:rsid w:val="0083719A"/>
    <w:rsid w:val="0083760A"/>
    <w:rsid w:val="00840598"/>
    <w:rsid w:val="00840867"/>
    <w:rsid w:val="00840CE9"/>
    <w:rsid w:val="00841E5B"/>
    <w:rsid w:val="00847084"/>
    <w:rsid w:val="00852E9F"/>
    <w:rsid w:val="00856F36"/>
    <w:rsid w:val="008608DE"/>
    <w:rsid w:val="0086271D"/>
    <w:rsid w:val="00863E3D"/>
    <w:rsid w:val="00864486"/>
    <w:rsid w:val="0086596D"/>
    <w:rsid w:val="0086786F"/>
    <w:rsid w:val="00870AC3"/>
    <w:rsid w:val="00873EDC"/>
    <w:rsid w:val="008769BA"/>
    <w:rsid w:val="0087710E"/>
    <w:rsid w:val="00877249"/>
    <w:rsid w:val="00880B0E"/>
    <w:rsid w:val="00880D23"/>
    <w:rsid w:val="00880D29"/>
    <w:rsid w:val="00882965"/>
    <w:rsid w:val="00885188"/>
    <w:rsid w:val="00886630"/>
    <w:rsid w:val="00891C65"/>
    <w:rsid w:val="008976EA"/>
    <w:rsid w:val="008A389A"/>
    <w:rsid w:val="008A40CC"/>
    <w:rsid w:val="008A512B"/>
    <w:rsid w:val="008A657A"/>
    <w:rsid w:val="008B0E7C"/>
    <w:rsid w:val="008B46BF"/>
    <w:rsid w:val="008B7F89"/>
    <w:rsid w:val="008C1D7E"/>
    <w:rsid w:val="008C1EB3"/>
    <w:rsid w:val="008C3190"/>
    <w:rsid w:val="008C57FF"/>
    <w:rsid w:val="008C6B91"/>
    <w:rsid w:val="008D1984"/>
    <w:rsid w:val="008D397A"/>
    <w:rsid w:val="008D3F21"/>
    <w:rsid w:val="008D45FD"/>
    <w:rsid w:val="008E0D29"/>
    <w:rsid w:val="008E2613"/>
    <w:rsid w:val="008E7E14"/>
    <w:rsid w:val="008F0A8E"/>
    <w:rsid w:val="008F31C9"/>
    <w:rsid w:val="008F3E11"/>
    <w:rsid w:val="008F4EB5"/>
    <w:rsid w:val="008F5D8E"/>
    <w:rsid w:val="008F6B2C"/>
    <w:rsid w:val="008F6E89"/>
    <w:rsid w:val="00900A2A"/>
    <w:rsid w:val="009010E7"/>
    <w:rsid w:val="00907813"/>
    <w:rsid w:val="00910793"/>
    <w:rsid w:val="00916021"/>
    <w:rsid w:val="00920B6E"/>
    <w:rsid w:val="009220D1"/>
    <w:rsid w:val="00922330"/>
    <w:rsid w:val="0092278B"/>
    <w:rsid w:val="0093006F"/>
    <w:rsid w:val="009301EB"/>
    <w:rsid w:val="00931CB9"/>
    <w:rsid w:val="00936226"/>
    <w:rsid w:val="0093711B"/>
    <w:rsid w:val="00937C0F"/>
    <w:rsid w:val="0094275E"/>
    <w:rsid w:val="00952B81"/>
    <w:rsid w:val="0095736F"/>
    <w:rsid w:val="009573AD"/>
    <w:rsid w:val="00961A4A"/>
    <w:rsid w:val="00964CF6"/>
    <w:rsid w:val="00965465"/>
    <w:rsid w:val="00966BEE"/>
    <w:rsid w:val="00966DAB"/>
    <w:rsid w:val="00970443"/>
    <w:rsid w:val="0097044D"/>
    <w:rsid w:val="00972FEF"/>
    <w:rsid w:val="00973348"/>
    <w:rsid w:val="00973903"/>
    <w:rsid w:val="00976300"/>
    <w:rsid w:val="00977416"/>
    <w:rsid w:val="00977796"/>
    <w:rsid w:val="00977C1F"/>
    <w:rsid w:val="00981D51"/>
    <w:rsid w:val="00985602"/>
    <w:rsid w:val="00985CA1"/>
    <w:rsid w:val="00997035"/>
    <w:rsid w:val="009971F8"/>
    <w:rsid w:val="009A0764"/>
    <w:rsid w:val="009A0C0C"/>
    <w:rsid w:val="009A1846"/>
    <w:rsid w:val="009A2C12"/>
    <w:rsid w:val="009A435D"/>
    <w:rsid w:val="009A7B6F"/>
    <w:rsid w:val="009B2B1A"/>
    <w:rsid w:val="009B638F"/>
    <w:rsid w:val="009C1DD3"/>
    <w:rsid w:val="009C2276"/>
    <w:rsid w:val="009C5C3A"/>
    <w:rsid w:val="009C63B0"/>
    <w:rsid w:val="009C6625"/>
    <w:rsid w:val="009C72F2"/>
    <w:rsid w:val="009C7A06"/>
    <w:rsid w:val="009D4993"/>
    <w:rsid w:val="009E0392"/>
    <w:rsid w:val="009E0CEE"/>
    <w:rsid w:val="009E41DF"/>
    <w:rsid w:val="009E4F77"/>
    <w:rsid w:val="009E63AC"/>
    <w:rsid w:val="009F05E2"/>
    <w:rsid w:val="009F55BB"/>
    <w:rsid w:val="009F5761"/>
    <w:rsid w:val="009F7BD0"/>
    <w:rsid w:val="00A02940"/>
    <w:rsid w:val="00A071F8"/>
    <w:rsid w:val="00A12440"/>
    <w:rsid w:val="00A17A83"/>
    <w:rsid w:val="00A225F3"/>
    <w:rsid w:val="00A22DAE"/>
    <w:rsid w:val="00A22F4D"/>
    <w:rsid w:val="00A23FE3"/>
    <w:rsid w:val="00A260BB"/>
    <w:rsid w:val="00A26741"/>
    <w:rsid w:val="00A30189"/>
    <w:rsid w:val="00A3308F"/>
    <w:rsid w:val="00A34651"/>
    <w:rsid w:val="00A3728B"/>
    <w:rsid w:val="00A41224"/>
    <w:rsid w:val="00A43DB9"/>
    <w:rsid w:val="00A43EC0"/>
    <w:rsid w:val="00A44D9E"/>
    <w:rsid w:val="00A46A8B"/>
    <w:rsid w:val="00A4710B"/>
    <w:rsid w:val="00A5011A"/>
    <w:rsid w:val="00A50517"/>
    <w:rsid w:val="00A55BC3"/>
    <w:rsid w:val="00A55F14"/>
    <w:rsid w:val="00A574F8"/>
    <w:rsid w:val="00A62034"/>
    <w:rsid w:val="00A621B1"/>
    <w:rsid w:val="00A62D70"/>
    <w:rsid w:val="00A70222"/>
    <w:rsid w:val="00A70AD5"/>
    <w:rsid w:val="00A74948"/>
    <w:rsid w:val="00A8125D"/>
    <w:rsid w:val="00A8432A"/>
    <w:rsid w:val="00A84D93"/>
    <w:rsid w:val="00A906E5"/>
    <w:rsid w:val="00A941C3"/>
    <w:rsid w:val="00A95250"/>
    <w:rsid w:val="00A97CFB"/>
    <w:rsid w:val="00AA06D3"/>
    <w:rsid w:val="00AA2ADF"/>
    <w:rsid w:val="00AA2E25"/>
    <w:rsid w:val="00AA4B14"/>
    <w:rsid w:val="00AB1046"/>
    <w:rsid w:val="00AB1F45"/>
    <w:rsid w:val="00AC1318"/>
    <w:rsid w:val="00AC7CD8"/>
    <w:rsid w:val="00AD1BB1"/>
    <w:rsid w:val="00AD1FA2"/>
    <w:rsid w:val="00AD2168"/>
    <w:rsid w:val="00AD4ACF"/>
    <w:rsid w:val="00AE0688"/>
    <w:rsid w:val="00AE2FA6"/>
    <w:rsid w:val="00AE315D"/>
    <w:rsid w:val="00AE3ADF"/>
    <w:rsid w:val="00AE481F"/>
    <w:rsid w:val="00AE4ED8"/>
    <w:rsid w:val="00AE6031"/>
    <w:rsid w:val="00AF1BF8"/>
    <w:rsid w:val="00AF364D"/>
    <w:rsid w:val="00AF3C10"/>
    <w:rsid w:val="00AF41C2"/>
    <w:rsid w:val="00AF423A"/>
    <w:rsid w:val="00AF4F64"/>
    <w:rsid w:val="00AF795A"/>
    <w:rsid w:val="00B00C81"/>
    <w:rsid w:val="00B024BC"/>
    <w:rsid w:val="00B02A99"/>
    <w:rsid w:val="00B02FFB"/>
    <w:rsid w:val="00B051FB"/>
    <w:rsid w:val="00B07ADB"/>
    <w:rsid w:val="00B11527"/>
    <w:rsid w:val="00B12B30"/>
    <w:rsid w:val="00B17FE2"/>
    <w:rsid w:val="00B34AA2"/>
    <w:rsid w:val="00B3637D"/>
    <w:rsid w:val="00B36BDC"/>
    <w:rsid w:val="00B37ABA"/>
    <w:rsid w:val="00B37C93"/>
    <w:rsid w:val="00B402C7"/>
    <w:rsid w:val="00B42CA1"/>
    <w:rsid w:val="00B431EB"/>
    <w:rsid w:val="00B51899"/>
    <w:rsid w:val="00B54BA7"/>
    <w:rsid w:val="00B55D7C"/>
    <w:rsid w:val="00B55F34"/>
    <w:rsid w:val="00B60D91"/>
    <w:rsid w:val="00B62C27"/>
    <w:rsid w:val="00B64DAD"/>
    <w:rsid w:val="00B7198D"/>
    <w:rsid w:val="00B74B23"/>
    <w:rsid w:val="00B74C46"/>
    <w:rsid w:val="00B74CBD"/>
    <w:rsid w:val="00B76BEF"/>
    <w:rsid w:val="00B77123"/>
    <w:rsid w:val="00B804BD"/>
    <w:rsid w:val="00B8229D"/>
    <w:rsid w:val="00B83B0B"/>
    <w:rsid w:val="00B876BC"/>
    <w:rsid w:val="00B94068"/>
    <w:rsid w:val="00B9607A"/>
    <w:rsid w:val="00B96B0E"/>
    <w:rsid w:val="00BA00DF"/>
    <w:rsid w:val="00BA2583"/>
    <w:rsid w:val="00BA4BC6"/>
    <w:rsid w:val="00BA6671"/>
    <w:rsid w:val="00BA72AB"/>
    <w:rsid w:val="00BB3A8B"/>
    <w:rsid w:val="00BC368E"/>
    <w:rsid w:val="00BC6C7A"/>
    <w:rsid w:val="00BD0560"/>
    <w:rsid w:val="00BD098A"/>
    <w:rsid w:val="00BD2883"/>
    <w:rsid w:val="00BD519A"/>
    <w:rsid w:val="00BD67DA"/>
    <w:rsid w:val="00BE0BA8"/>
    <w:rsid w:val="00BE4E6B"/>
    <w:rsid w:val="00BE5062"/>
    <w:rsid w:val="00BE568E"/>
    <w:rsid w:val="00BE5F2C"/>
    <w:rsid w:val="00BE6F3D"/>
    <w:rsid w:val="00BE789A"/>
    <w:rsid w:val="00BF0607"/>
    <w:rsid w:val="00BF3202"/>
    <w:rsid w:val="00BF426B"/>
    <w:rsid w:val="00BF55EF"/>
    <w:rsid w:val="00BF55FD"/>
    <w:rsid w:val="00BF6508"/>
    <w:rsid w:val="00C01381"/>
    <w:rsid w:val="00C01645"/>
    <w:rsid w:val="00C041D7"/>
    <w:rsid w:val="00C06498"/>
    <w:rsid w:val="00C149D0"/>
    <w:rsid w:val="00C15FBD"/>
    <w:rsid w:val="00C16AB4"/>
    <w:rsid w:val="00C170F3"/>
    <w:rsid w:val="00C209D3"/>
    <w:rsid w:val="00C2120B"/>
    <w:rsid w:val="00C220EE"/>
    <w:rsid w:val="00C30D0A"/>
    <w:rsid w:val="00C32E50"/>
    <w:rsid w:val="00C33982"/>
    <w:rsid w:val="00C33ED6"/>
    <w:rsid w:val="00C34626"/>
    <w:rsid w:val="00C35959"/>
    <w:rsid w:val="00C37FAF"/>
    <w:rsid w:val="00C400D6"/>
    <w:rsid w:val="00C43538"/>
    <w:rsid w:val="00C460F4"/>
    <w:rsid w:val="00C46BF3"/>
    <w:rsid w:val="00C46E60"/>
    <w:rsid w:val="00C476E9"/>
    <w:rsid w:val="00C503DD"/>
    <w:rsid w:val="00C54175"/>
    <w:rsid w:val="00C54F11"/>
    <w:rsid w:val="00C54F8F"/>
    <w:rsid w:val="00C66349"/>
    <w:rsid w:val="00C7134E"/>
    <w:rsid w:val="00C730FE"/>
    <w:rsid w:val="00C73146"/>
    <w:rsid w:val="00C73F4D"/>
    <w:rsid w:val="00C772AA"/>
    <w:rsid w:val="00C83231"/>
    <w:rsid w:val="00C91054"/>
    <w:rsid w:val="00C929AA"/>
    <w:rsid w:val="00C953A8"/>
    <w:rsid w:val="00C95C33"/>
    <w:rsid w:val="00C967C3"/>
    <w:rsid w:val="00CA5775"/>
    <w:rsid w:val="00CA5844"/>
    <w:rsid w:val="00CA64B1"/>
    <w:rsid w:val="00CA7582"/>
    <w:rsid w:val="00CB2F52"/>
    <w:rsid w:val="00CB3B29"/>
    <w:rsid w:val="00CC094D"/>
    <w:rsid w:val="00CC0BC7"/>
    <w:rsid w:val="00CC148D"/>
    <w:rsid w:val="00CC2428"/>
    <w:rsid w:val="00CC40D9"/>
    <w:rsid w:val="00CD1DD0"/>
    <w:rsid w:val="00CD4E58"/>
    <w:rsid w:val="00CD5C3F"/>
    <w:rsid w:val="00CD7B9E"/>
    <w:rsid w:val="00CE2080"/>
    <w:rsid w:val="00CE523D"/>
    <w:rsid w:val="00CF241E"/>
    <w:rsid w:val="00CF6535"/>
    <w:rsid w:val="00D001FE"/>
    <w:rsid w:val="00D03E20"/>
    <w:rsid w:val="00D03E43"/>
    <w:rsid w:val="00D04C8F"/>
    <w:rsid w:val="00D120FF"/>
    <w:rsid w:val="00D123B8"/>
    <w:rsid w:val="00D135AC"/>
    <w:rsid w:val="00D1412B"/>
    <w:rsid w:val="00D1433F"/>
    <w:rsid w:val="00D14D0D"/>
    <w:rsid w:val="00D153F7"/>
    <w:rsid w:val="00D155E0"/>
    <w:rsid w:val="00D170A0"/>
    <w:rsid w:val="00D200A0"/>
    <w:rsid w:val="00D253D0"/>
    <w:rsid w:val="00D25436"/>
    <w:rsid w:val="00D27915"/>
    <w:rsid w:val="00D347F2"/>
    <w:rsid w:val="00D37111"/>
    <w:rsid w:val="00D404DC"/>
    <w:rsid w:val="00D41067"/>
    <w:rsid w:val="00D43817"/>
    <w:rsid w:val="00D451A0"/>
    <w:rsid w:val="00D5280A"/>
    <w:rsid w:val="00D53FAF"/>
    <w:rsid w:val="00D5731A"/>
    <w:rsid w:val="00D718B7"/>
    <w:rsid w:val="00D724AA"/>
    <w:rsid w:val="00D72ADB"/>
    <w:rsid w:val="00D75D5C"/>
    <w:rsid w:val="00D80C1E"/>
    <w:rsid w:val="00D8256D"/>
    <w:rsid w:val="00D83363"/>
    <w:rsid w:val="00D85CB9"/>
    <w:rsid w:val="00D86B53"/>
    <w:rsid w:val="00D901A6"/>
    <w:rsid w:val="00D96222"/>
    <w:rsid w:val="00DA2070"/>
    <w:rsid w:val="00DA3EE9"/>
    <w:rsid w:val="00DA4D6B"/>
    <w:rsid w:val="00DA6AD4"/>
    <w:rsid w:val="00DB2A4F"/>
    <w:rsid w:val="00DB41E7"/>
    <w:rsid w:val="00DB4AA0"/>
    <w:rsid w:val="00DC00DC"/>
    <w:rsid w:val="00DC39C8"/>
    <w:rsid w:val="00DC3ABE"/>
    <w:rsid w:val="00DC3CB3"/>
    <w:rsid w:val="00DC5E8D"/>
    <w:rsid w:val="00DC6F20"/>
    <w:rsid w:val="00DD0DEF"/>
    <w:rsid w:val="00DD531E"/>
    <w:rsid w:val="00DE487D"/>
    <w:rsid w:val="00DE5BB5"/>
    <w:rsid w:val="00DE5DFC"/>
    <w:rsid w:val="00DE72A9"/>
    <w:rsid w:val="00DE77D4"/>
    <w:rsid w:val="00DE7B02"/>
    <w:rsid w:val="00DF3CF9"/>
    <w:rsid w:val="00DF41C1"/>
    <w:rsid w:val="00DF5BED"/>
    <w:rsid w:val="00DF7819"/>
    <w:rsid w:val="00E00294"/>
    <w:rsid w:val="00E00CAC"/>
    <w:rsid w:val="00E04EC8"/>
    <w:rsid w:val="00E1082B"/>
    <w:rsid w:val="00E21BCE"/>
    <w:rsid w:val="00E23679"/>
    <w:rsid w:val="00E255AE"/>
    <w:rsid w:val="00E302A3"/>
    <w:rsid w:val="00E30B09"/>
    <w:rsid w:val="00E33C30"/>
    <w:rsid w:val="00E34FD4"/>
    <w:rsid w:val="00E37874"/>
    <w:rsid w:val="00E37E0D"/>
    <w:rsid w:val="00E421A8"/>
    <w:rsid w:val="00E451F5"/>
    <w:rsid w:val="00E477B9"/>
    <w:rsid w:val="00E50AEA"/>
    <w:rsid w:val="00E5350C"/>
    <w:rsid w:val="00E56A49"/>
    <w:rsid w:val="00E62141"/>
    <w:rsid w:val="00E65C67"/>
    <w:rsid w:val="00E70C7E"/>
    <w:rsid w:val="00E718D2"/>
    <w:rsid w:val="00E774D5"/>
    <w:rsid w:val="00E80119"/>
    <w:rsid w:val="00E86B4C"/>
    <w:rsid w:val="00E87308"/>
    <w:rsid w:val="00E902ED"/>
    <w:rsid w:val="00E912F6"/>
    <w:rsid w:val="00E913AE"/>
    <w:rsid w:val="00E91A7F"/>
    <w:rsid w:val="00E950FF"/>
    <w:rsid w:val="00E95B74"/>
    <w:rsid w:val="00EA046E"/>
    <w:rsid w:val="00EA4D25"/>
    <w:rsid w:val="00EA537D"/>
    <w:rsid w:val="00EB07C6"/>
    <w:rsid w:val="00EB3467"/>
    <w:rsid w:val="00EB4195"/>
    <w:rsid w:val="00EB62D6"/>
    <w:rsid w:val="00EB76F6"/>
    <w:rsid w:val="00EC5663"/>
    <w:rsid w:val="00EC601F"/>
    <w:rsid w:val="00EC7711"/>
    <w:rsid w:val="00ED05EB"/>
    <w:rsid w:val="00ED108D"/>
    <w:rsid w:val="00ED1BA7"/>
    <w:rsid w:val="00ED26D9"/>
    <w:rsid w:val="00ED34F2"/>
    <w:rsid w:val="00ED538E"/>
    <w:rsid w:val="00ED54C0"/>
    <w:rsid w:val="00EE175A"/>
    <w:rsid w:val="00EE313C"/>
    <w:rsid w:val="00EE3D23"/>
    <w:rsid w:val="00EE5234"/>
    <w:rsid w:val="00EE650E"/>
    <w:rsid w:val="00EF26D4"/>
    <w:rsid w:val="00F00AEF"/>
    <w:rsid w:val="00F01A43"/>
    <w:rsid w:val="00F01C28"/>
    <w:rsid w:val="00F06993"/>
    <w:rsid w:val="00F06B2C"/>
    <w:rsid w:val="00F11B9D"/>
    <w:rsid w:val="00F11CA8"/>
    <w:rsid w:val="00F12164"/>
    <w:rsid w:val="00F127CE"/>
    <w:rsid w:val="00F12AE0"/>
    <w:rsid w:val="00F13288"/>
    <w:rsid w:val="00F15E37"/>
    <w:rsid w:val="00F2033D"/>
    <w:rsid w:val="00F20DCF"/>
    <w:rsid w:val="00F21D5B"/>
    <w:rsid w:val="00F238EA"/>
    <w:rsid w:val="00F25B8A"/>
    <w:rsid w:val="00F26030"/>
    <w:rsid w:val="00F27A75"/>
    <w:rsid w:val="00F357D0"/>
    <w:rsid w:val="00F36638"/>
    <w:rsid w:val="00F42293"/>
    <w:rsid w:val="00F42711"/>
    <w:rsid w:val="00F4290C"/>
    <w:rsid w:val="00F45EED"/>
    <w:rsid w:val="00F47336"/>
    <w:rsid w:val="00F50108"/>
    <w:rsid w:val="00F572C1"/>
    <w:rsid w:val="00F63D28"/>
    <w:rsid w:val="00F6530F"/>
    <w:rsid w:val="00F65901"/>
    <w:rsid w:val="00F67B5A"/>
    <w:rsid w:val="00F70185"/>
    <w:rsid w:val="00F70798"/>
    <w:rsid w:val="00F714DC"/>
    <w:rsid w:val="00F80252"/>
    <w:rsid w:val="00F80367"/>
    <w:rsid w:val="00F8056B"/>
    <w:rsid w:val="00F83384"/>
    <w:rsid w:val="00F85AFD"/>
    <w:rsid w:val="00F86F44"/>
    <w:rsid w:val="00F8702D"/>
    <w:rsid w:val="00F87A1A"/>
    <w:rsid w:val="00F90698"/>
    <w:rsid w:val="00F91B56"/>
    <w:rsid w:val="00F94E87"/>
    <w:rsid w:val="00F95B6A"/>
    <w:rsid w:val="00FA016A"/>
    <w:rsid w:val="00FB2200"/>
    <w:rsid w:val="00FB5F6E"/>
    <w:rsid w:val="00FC3C6A"/>
    <w:rsid w:val="00FC4904"/>
    <w:rsid w:val="00FC606D"/>
    <w:rsid w:val="00FC704C"/>
    <w:rsid w:val="00FC7AEB"/>
    <w:rsid w:val="00FD18E1"/>
    <w:rsid w:val="00FD2AC5"/>
    <w:rsid w:val="00FD40DC"/>
    <w:rsid w:val="00FD5403"/>
    <w:rsid w:val="00FE1261"/>
    <w:rsid w:val="00FE1B1B"/>
    <w:rsid w:val="00FE25FF"/>
    <w:rsid w:val="00FE41D6"/>
    <w:rsid w:val="00FE4F84"/>
    <w:rsid w:val="00FE74A9"/>
    <w:rsid w:val="00FE7BCC"/>
    <w:rsid w:val="00FE7D95"/>
    <w:rsid w:val="00FF0E5F"/>
    <w:rsid w:val="00FF1EA6"/>
    <w:rsid w:val="00FF3F6D"/>
    <w:rsid w:val="00FF472B"/>
    <w:rsid w:val="01086F3F"/>
    <w:rsid w:val="01510A0D"/>
    <w:rsid w:val="015D042E"/>
    <w:rsid w:val="020FB809"/>
    <w:rsid w:val="041EAD22"/>
    <w:rsid w:val="057904AF"/>
    <w:rsid w:val="05A72D4B"/>
    <w:rsid w:val="060D2001"/>
    <w:rsid w:val="0642CD68"/>
    <w:rsid w:val="067C974C"/>
    <w:rsid w:val="068935A9"/>
    <w:rsid w:val="06E128A5"/>
    <w:rsid w:val="07481318"/>
    <w:rsid w:val="0777EB4B"/>
    <w:rsid w:val="0827893B"/>
    <w:rsid w:val="0A898189"/>
    <w:rsid w:val="0ABB136D"/>
    <w:rsid w:val="0C102628"/>
    <w:rsid w:val="0C516ABA"/>
    <w:rsid w:val="0D15A79F"/>
    <w:rsid w:val="0D6C4F3E"/>
    <w:rsid w:val="0D94F792"/>
    <w:rsid w:val="0E42120D"/>
    <w:rsid w:val="0ED791C7"/>
    <w:rsid w:val="0FACEF9D"/>
    <w:rsid w:val="0FD631AD"/>
    <w:rsid w:val="0FDBA4A0"/>
    <w:rsid w:val="10728324"/>
    <w:rsid w:val="10738808"/>
    <w:rsid w:val="10DA3A1F"/>
    <w:rsid w:val="1220A861"/>
    <w:rsid w:val="1249E903"/>
    <w:rsid w:val="13640B2E"/>
    <w:rsid w:val="136B6AFB"/>
    <w:rsid w:val="14F3BA81"/>
    <w:rsid w:val="150DC84C"/>
    <w:rsid w:val="1673B1DF"/>
    <w:rsid w:val="1735BFE8"/>
    <w:rsid w:val="17FFAA19"/>
    <w:rsid w:val="1850B170"/>
    <w:rsid w:val="189C25E7"/>
    <w:rsid w:val="19553EDC"/>
    <w:rsid w:val="196CCC52"/>
    <w:rsid w:val="1A5F63E6"/>
    <w:rsid w:val="1AC67A07"/>
    <w:rsid w:val="1B553EA4"/>
    <w:rsid w:val="1BA9DB1C"/>
    <w:rsid w:val="1BF3BA39"/>
    <w:rsid w:val="1C371D8C"/>
    <w:rsid w:val="1CA2C0A0"/>
    <w:rsid w:val="1F59CB85"/>
    <w:rsid w:val="1FAF2650"/>
    <w:rsid w:val="2029DFA3"/>
    <w:rsid w:val="209569E7"/>
    <w:rsid w:val="21A478D7"/>
    <w:rsid w:val="22848D9D"/>
    <w:rsid w:val="234E56A5"/>
    <w:rsid w:val="23F5976A"/>
    <w:rsid w:val="24568415"/>
    <w:rsid w:val="245E0157"/>
    <w:rsid w:val="24DAF13C"/>
    <w:rsid w:val="26E6503B"/>
    <w:rsid w:val="277E5D8C"/>
    <w:rsid w:val="28A2FA1C"/>
    <w:rsid w:val="28DF9335"/>
    <w:rsid w:val="28EFE0E3"/>
    <w:rsid w:val="2901C794"/>
    <w:rsid w:val="291BD054"/>
    <w:rsid w:val="291F64FE"/>
    <w:rsid w:val="29495CF2"/>
    <w:rsid w:val="2A68ABF2"/>
    <w:rsid w:val="2A742842"/>
    <w:rsid w:val="2AA7FA39"/>
    <w:rsid w:val="2ADD05F9"/>
    <w:rsid w:val="2B36660D"/>
    <w:rsid w:val="2BDEB136"/>
    <w:rsid w:val="2BE22ED3"/>
    <w:rsid w:val="2C3C3160"/>
    <w:rsid w:val="2CC602EA"/>
    <w:rsid w:val="2D10EF91"/>
    <w:rsid w:val="2D2BCF9D"/>
    <w:rsid w:val="2EF46078"/>
    <w:rsid w:val="2EFC220E"/>
    <w:rsid w:val="2F3B380B"/>
    <w:rsid w:val="2F6915AB"/>
    <w:rsid w:val="2FC87A4F"/>
    <w:rsid w:val="2FF385FF"/>
    <w:rsid w:val="306FF6EA"/>
    <w:rsid w:val="30A50BFB"/>
    <w:rsid w:val="30F148B4"/>
    <w:rsid w:val="31D40DCD"/>
    <w:rsid w:val="325638BB"/>
    <w:rsid w:val="3279F4A0"/>
    <w:rsid w:val="33470BB9"/>
    <w:rsid w:val="339B5FA8"/>
    <w:rsid w:val="33F37780"/>
    <w:rsid w:val="34153B03"/>
    <w:rsid w:val="3443117B"/>
    <w:rsid w:val="34862C34"/>
    <w:rsid w:val="355D0573"/>
    <w:rsid w:val="3623B56A"/>
    <w:rsid w:val="3769F280"/>
    <w:rsid w:val="399143C2"/>
    <w:rsid w:val="3B0BA01F"/>
    <w:rsid w:val="3B59A377"/>
    <w:rsid w:val="3BD7593D"/>
    <w:rsid w:val="3CD062DC"/>
    <w:rsid w:val="3DE26CE5"/>
    <w:rsid w:val="3E02F629"/>
    <w:rsid w:val="3EB7132D"/>
    <w:rsid w:val="3EC4C9F4"/>
    <w:rsid w:val="3F2A5A7C"/>
    <w:rsid w:val="3FD62E7A"/>
    <w:rsid w:val="3FEE5D3A"/>
    <w:rsid w:val="40680053"/>
    <w:rsid w:val="40D180E0"/>
    <w:rsid w:val="410FD19C"/>
    <w:rsid w:val="417D2930"/>
    <w:rsid w:val="41E45FEB"/>
    <w:rsid w:val="4221CF16"/>
    <w:rsid w:val="42A8F25D"/>
    <w:rsid w:val="42C0A19F"/>
    <w:rsid w:val="42D07B3D"/>
    <w:rsid w:val="43F1A44C"/>
    <w:rsid w:val="4477D23C"/>
    <w:rsid w:val="44841750"/>
    <w:rsid w:val="44FD8BF5"/>
    <w:rsid w:val="4540F971"/>
    <w:rsid w:val="455704C8"/>
    <w:rsid w:val="45BCE303"/>
    <w:rsid w:val="45F479D0"/>
    <w:rsid w:val="463B7544"/>
    <w:rsid w:val="463C9D51"/>
    <w:rsid w:val="466A9FE2"/>
    <w:rsid w:val="467F178C"/>
    <w:rsid w:val="46DEF337"/>
    <w:rsid w:val="46EA4149"/>
    <w:rsid w:val="4820D3AF"/>
    <w:rsid w:val="4B0D0DA2"/>
    <w:rsid w:val="4B675CDA"/>
    <w:rsid w:val="4B7B5E05"/>
    <w:rsid w:val="4BA9AF7B"/>
    <w:rsid w:val="4BCE776D"/>
    <w:rsid w:val="4BCEFEE7"/>
    <w:rsid w:val="4BE6AFB3"/>
    <w:rsid w:val="4C7F324B"/>
    <w:rsid w:val="4CBBC504"/>
    <w:rsid w:val="4DF2F3A2"/>
    <w:rsid w:val="4DFF05F0"/>
    <w:rsid w:val="4E6B840A"/>
    <w:rsid w:val="4F4CC596"/>
    <w:rsid w:val="502C0F74"/>
    <w:rsid w:val="506A9F74"/>
    <w:rsid w:val="506C3F5A"/>
    <w:rsid w:val="50A10D22"/>
    <w:rsid w:val="51D48DB8"/>
    <w:rsid w:val="51F94EDA"/>
    <w:rsid w:val="5246851C"/>
    <w:rsid w:val="53220378"/>
    <w:rsid w:val="5370B53F"/>
    <w:rsid w:val="5494FA48"/>
    <w:rsid w:val="54EA5485"/>
    <w:rsid w:val="55685C81"/>
    <w:rsid w:val="55C20D52"/>
    <w:rsid w:val="5605E5DB"/>
    <w:rsid w:val="560BD79B"/>
    <w:rsid w:val="567EE202"/>
    <w:rsid w:val="5709AA4B"/>
    <w:rsid w:val="575021AD"/>
    <w:rsid w:val="575C0413"/>
    <w:rsid w:val="57CDAA1C"/>
    <w:rsid w:val="57D63393"/>
    <w:rsid w:val="584D09D3"/>
    <w:rsid w:val="5940DFCE"/>
    <w:rsid w:val="5A688439"/>
    <w:rsid w:val="5B8DC176"/>
    <w:rsid w:val="5BA3FC6D"/>
    <w:rsid w:val="5C2FA785"/>
    <w:rsid w:val="5CE8852F"/>
    <w:rsid w:val="5D99E192"/>
    <w:rsid w:val="5DEBD212"/>
    <w:rsid w:val="5E59A588"/>
    <w:rsid w:val="5E650925"/>
    <w:rsid w:val="5FA6D373"/>
    <w:rsid w:val="5FB16879"/>
    <w:rsid w:val="5FB26E3A"/>
    <w:rsid w:val="5FBBCCF0"/>
    <w:rsid w:val="608F650B"/>
    <w:rsid w:val="60CC27BD"/>
    <w:rsid w:val="6138B171"/>
    <w:rsid w:val="614783A7"/>
    <w:rsid w:val="622E9F0D"/>
    <w:rsid w:val="62DC7C43"/>
    <w:rsid w:val="62F2CAFB"/>
    <w:rsid w:val="6331D2A2"/>
    <w:rsid w:val="636BDED3"/>
    <w:rsid w:val="63B33F5D"/>
    <w:rsid w:val="65CB7C9E"/>
    <w:rsid w:val="661B966D"/>
    <w:rsid w:val="66F8B745"/>
    <w:rsid w:val="66FC394E"/>
    <w:rsid w:val="684C09EF"/>
    <w:rsid w:val="68DDAFB7"/>
    <w:rsid w:val="698D2FE8"/>
    <w:rsid w:val="69A0B5E2"/>
    <w:rsid w:val="69D02081"/>
    <w:rsid w:val="69E104F3"/>
    <w:rsid w:val="6A1BE5CF"/>
    <w:rsid w:val="6A2D010C"/>
    <w:rsid w:val="6ACEA5BE"/>
    <w:rsid w:val="6C713A57"/>
    <w:rsid w:val="6C98D790"/>
    <w:rsid w:val="6CD2CE9E"/>
    <w:rsid w:val="6D5286D0"/>
    <w:rsid w:val="6DE16C73"/>
    <w:rsid w:val="6E8D4B67"/>
    <w:rsid w:val="6F042481"/>
    <w:rsid w:val="6F0C6FB2"/>
    <w:rsid w:val="6F13BB5C"/>
    <w:rsid w:val="6FA923BA"/>
    <w:rsid w:val="6FD61D9B"/>
    <w:rsid w:val="702C5EA5"/>
    <w:rsid w:val="70D8191C"/>
    <w:rsid w:val="70FA6910"/>
    <w:rsid w:val="7121F3FA"/>
    <w:rsid w:val="71B5C97E"/>
    <w:rsid w:val="71DA5208"/>
    <w:rsid w:val="71FE80B9"/>
    <w:rsid w:val="7202755D"/>
    <w:rsid w:val="72276FAD"/>
    <w:rsid w:val="72321F13"/>
    <w:rsid w:val="72D874EF"/>
    <w:rsid w:val="72EE3CC3"/>
    <w:rsid w:val="73586B54"/>
    <w:rsid w:val="73F5FB43"/>
    <w:rsid w:val="755941C6"/>
    <w:rsid w:val="757C9665"/>
    <w:rsid w:val="76F94750"/>
    <w:rsid w:val="782F3E6C"/>
    <w:rsid w:val="7843CB92"/>
    <w:rsid w:val="78C53CEE"/>
    <w:rsid w:val="79D13D55"/>
    <w:rsid w:val="79EC725A"/>
    <w:rsid w:val="7A235B8D"/>
    <w:rsid w:val="7AD13417"/>
    <w:rsid w:val="7ADCC05F"/>
    <w:rsid w:val="7B1F8475"/>
    <w:rsid w:val="7BF3982B"/>
    <w:rsid w:val="7CB14713"/>
    <w:rsid w:val="7D61AD74"/>
    <w:rsid w:val="7D700832"/>
    <w:rsid w:val="7D9DE394"/>
    <w:rsid w:val="7E53AB1E"/>
    <w:rsid w:val="7EF9CB52"/>
    <w:rsid w:val="7F70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0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702"/>
    <w:rPr>
      <w:rFonts w:eastAsiaTheme="majorEastAsia" w:cstheme="majorBidi"/>
      <w:color w:val="272727" w:themeColor="text1" w:themeTint="D8"/>
    </w:rPr>
  </w:style>
  <w:style w:type="paragraph" w:styleId="Title">
    <w:name w:val="Title"/>
    <w:basedOn w:val="Normal"/>
    <w:next w:val="Normal"/>
    <w:link w:val="TitleChar"/>
    <w:uiPriority w:val="10"/>
    <w:qFormat/>
    <w:rsid w:val="00366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702"/>
    <w:pPr>
      <w:spacing w:before="160"/>
      <w:jc w:val="center"/>
    </w:pPr>
    <w:rPr>
      <w:i/>
      <w:iCs/>
      <w:color w:val="404040" w:themeColor="text1" w:themeTint="BF"/>
    </w:rPr>
  </w:style>
  <w:style w:type="character" w:customStyle="1" w:styleId="QuoteChar">
    <w:name w:val="Quote Char"/>
    <w:basedOn w:val="DefaultParagraphFont"/>
    <w:link w:val="Quote"/>
    <w:uiPriority w:val="29"/>
    <w:rsid w:val="00366702"/>
    <w:rPr>
      <w:i/>
      <w:iCs/>
      <w:color w:val="404040" w:themeColor="text1" w:themeTint="BF"/>
    </w:rPr>
  </w:style>
  <w:style w:type="paragraph" w:styleId="ListParagraph">
    <w:name w:val="List Paragraph"/>
    <w:basedOn w:val="Normal"/>
    <w:uiPriority w:val="34"/>
    <w:qFormat/>
    <w:rsid w:val="00366702"/>
    <w:pPr>
      <w:ind w:left="720"/>
      <w:contextualSpacing/>
    </w:pPr>
  </w:style>
  <w:style w:type="character" w:styleId="IntenseEmphasis">
    <w:name w:val="Intense Emphasis"/>
    <w:basedOn w:val="DefaultParagraphFont"/>
    <w:uiPriority w:val="21"/>
    <w:qFormat/>
    <w:rsid w:val="00366702"/>
    <w:rPr>
      <w:i/>
      <w:iCs/>
      <w:color w:val="0F4761" w:themeColor="accent1" w:themeShade="BF"/>
    </w:rPr>
  </w:style>
  <w:style w:type="paragraph" w:styleId="IntenseQuote">
    <w:name w:val="Intense Quote"/>
    <w:basedOn w:val="Normal"/>
    <w:next w:val="Normal"/>
    <w:link w:val="IntenseQuoteChar"/>
    <w:uiPriority w:val="30"/>
    <w:qFormat/>
    <w:rsid w:val="00366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702"/>
    <w:rPr>
      <w:i/>
      <w:iCs/>
      <w:color w:val="0F4761" w:themeColor="accent1" w:themeShade="BF"/>
    </w:rPr>
  </w:style>
  <w:style w:type="character" w:styleId="IntenseReference">
    <w:name w:val="Intense Reference"/>
    <w:basedOn w:val="DefaultParagraphFont"/>
    <w:uiPriority w:val="32"/>
    <w:qFormat/>
    <w:rsid w:val="00366702"/>
    <w:rPr>
      <w:b/>
      <w:bCs/>
      <w:smallCaps/>
      <w:color w:val="0F4761" w:themeColor="accent1" w:themeShade="BF"/>
      <w:spacing w:val="5"/>
    </w:rPr>
  </w:style>
  <w:style w:type="paragraph" w:customStyle="1" w:styleId="DIDSHeading">
    <w:name w:val="DIDS Heading"/>
    <w:basedOn w:val="Heading1"/>
    <w:next w:val="Heading2"/>
    <w:link w:val="DIDSHeadingChar"/>
    <w:autoRedefine/>
    <w:qFormat/>
    <w:rsid w:val="00DE77D4"/>
    <w:pPr>
      <w:jc w:val="center"/>
    </w:pPr>
    <w:rPr>
      <w:rFonts w:ascii="Century Schoolbook" w:hAnsi="Century Schoolbook"/>
      <w:b/>
    </w:rPr>
  </w:style>
  <w:style w:type="character" w:customStyle="1" w:styleId="DIDSHeadingChar">
    <w:name w:val="DIDS Heading Char"/>
    <w:basedOn w:val="Heading1Char"/>
    <w:link w:val="DIDSHeading"/>
    <w:rsid w:val="00DE77D4"/>
    <w:rPr>
      <w:rFonts w:ascii="Century Schoolbook" w:eastAsiaTheme="majorEastAsia" w:hAnsi="Century Schoolbook" w:cstheme="majorBidi"/>
      <w:b/>
      <w:color w:val="0F4761" w:themeColor="accent1" w:themeShade="BF"/>
      <w:sz w:val="40"/>
      <w:szCs w:val="40"/>
    </w:rPr>
  </w:style>
  <w:style w:type="paragraph" w:customStyle="1" w:styleId="Style1">
    <w:name w:val="Style1"/>
    <w:basedOn w:val="Heading2"/>
    <w:link w:val="Style1Char"/>
    <w:qFormat/>
    <w:rsid w:val="00366702"/>
    <w:pPr>
      <w:jc w:val="center"/>
    </w:pPr>
    <w:rPr>
      <w:rFonts w:ascii="Century Schoolbook" w:hAnsi="Century Schoolbook"/>
    </w:rPr>
  </w:style>
  <w:style w:type="character" w:customStyle="1" w:styleId="Style1Char">
    <w:name w:val="Style1 Char"/>
    <w:basedOn w:val="Heading2Char"/>
    <w:link w:val="Style1"/>
    <w:rsid w:val="00366702"/>
    <w:rPr>
      <w:rFonts w:ascii="Century Schoolbook" w:eastAsiaTheme="majorEastAsia" w:hAnsi="Century Schoolbook" w:cstheme="majorBidi"/>
      <w:color w:val="0F4761" w:themeColor="accent1" w:themeShade="BF"/>
      <w:sz w:val="32"/>
      <w:szCs w:val="32"/>
    </w:rPr>
  </w:style>
  <w:style w:type="paragraph" w:customStyle="1" w:styleId="DIDSParagraph">
    <w:name w:val="DIDS Paragraph"/>
    <w:basedOn w:val="Normal"/>
    <w:link w:val="DIDSParagraphChar"/>
    <w:autoRedefine/>
    <w:qFormat/>
    <w:rsid w:val="003E045A"/>
    <w:pPr>
      <w:jc w:val="both"/>
    </w:pPr>
    <w:rPr>
      <w:rFonts w:ascii="Century Schoolbook" w:hAnsi="Century Schoolbook"/>
      <w:szCs w:val="32"/>
    </w:rPr>
  </w:style>
  <w:style w:type="character" w:customStyle="1" w:styleId="DIDSParagraphChar">
    <w:name w:val="DIDS Paragraph Char"/>
    <w:basedOn w:val="DefaultParagraphFont"/>
    <w:link w:val="DIDSParagraph"/>
    <w:rsid w:val="003E045A"/>
    <w:rPr>
      <w:rFonts w:ascii="Century Schoolbook" w:hAnsi="Century Schoolbook"/>
      <w:szCs w:val="32"/>
    </w:rPr>
  </w:style>
  <w:style w:type="paragraph" w:styleId="FootnoteText">
    <w:name w:val="footnote text"/>
    <w:basedOn w:val="Normal"/>
    <w:link w:val="FootnoteTextChar"/>
    <w:uiPriority w:val="99"/>
    <w:semiHidden/>
    <w:unhideWhenUsed/>
    <w:rsid w:val="00972F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FEF"/>
    <w:rPr>
      <w:sz w:val="20"/>
      <w:szCs w:val="20"/>
    </w:rPr>
  </w:style>
  <w:style w:type="character" w:styleId="FootnoteReference">
    <w:name w:val="footnote reference"/>
    <w:basedOn w:val="DefaultParagraphFont"/>
    <w:uiPriority w:val="99"/>
    <w:semiHidden/>
    <w:unhideWhenUsed/>
    <w:rsid w:val="00972FEF"/>
    <w:rPr>
      <w:vertAlign w:val="superscript"/>
    </w:rPr>
  </w:style>
  <w:style w:type="paragraph" w:styleId="TOCHeading">
    <w:name w:val="TOC Heading"/>
    <w:basedOn w:val="Heading1"/>
    <w:next w:val="Normal"/>
    <w:uiPriority w:val="39"/>
    <w:unhideWhenUsed/>
    <w:qFormat/>
    <w:rsid w:val="00BE5062"/>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E5062"/>
    <w:pPr>
      <w:spacing w:after="100"/>
    </w:pPr>
  </w:style>
  <w:style w:type="paragraph" w:styleId="TOC2">
    <w:name w:val="toc 2"/>
    <w:basedOn w:val="Normal"/>
    <w:next w:val="Normal"/>
    <w:autoRedefine/>
    <w:uiPriority w:val="39"/>
    <w:unhideWhenUsed/>
    <w:rsid w:val="00BE5062"/>
    <w:pPr>
      <w:spacing w:after="100"/>
      <w:ind w:left="240"/>
    </w:pPr>
  </w:style>
  <w:style w:type="character" w:styleId="Hyperlink">
    <w:name w:val="Hyperlink"/>
    <w:basedOn w:val="DefaultParagraphFont"/>
    <w:uiPriority w:val="99"/>
    <w:unhideWhenUsed/>
    <w:rsid w:val="00BE5062"/>
    <w:rPr>
      <w:color w:val="467886" w:themeColor="hyperlink"/>
      <w:u w:val="single"/>
    </w:rPr>
  </w:style>
  <w:style w:type="paragraph" w:styleId="Header">
    <w:name w:val="header"/>
    <w:basedOn w:val="Normal"/>
    <w:link w:val="HeaderChar"/>
    <w:uiPriority w:val="99"/>
    <w:unhideWhenUsed/>
    <w:rsid w:val="00DE7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7D4"/>
  </w:style>
  <w:style w:type="paragraph" w:styleId="Footer">
    <w:name w:val="footer"/>
    <w:basedOn w:val="Normal"/>
    <w:link w:val="FooterChar"/>
    <w:uiPriority w:val="99"/>
    <w:unhideWhenUsed/>
    <w:rsid w:val="00DE7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7D4"/>
  </w:style>
  <w:style w:type="paragraph" w:customStyle="1" w:styleId="DIDSSubHeading">
    <w:name w:val="DIDS SubHeading"/>
    <w:basedOn w:val="Heading2"/>
    <w:link w:val="DIDSSubHeadingChar"/>
    <w:qFormat/>
    <w:rsid w:val="00190FCB"/>
    <w:rPr>
      <w:rFonts w:ascii="Century Schoolbook" w:hAnsi="Century Schoolbook"/>
      <w:sz w:val="28"/>
    </w:rPr>
  </w:style>
  <w:style w:type="character" w:customStyle="1" w:styleId="DIDSSubHeadingChar">
    <w:name w:val="DIDS SubHeading Char"/>
    <w:basedOn w:val="Heading2Char"/>
    <w:link w:val="DIDSSubHeading"/>
    <w:rsid w:val="00190FCB"/>
    <w:rPr>
      <w:rFonts w:ascii="Century Schoolbook" w:eastAsiaTheme="majorEastAsia" w:hAnsi="Century Schoolbook" w:cstheme="majorBidi"/>
      <w:color w:val="0F4761" w:themeColor="accent1" w:themeShade="BF"/>
      <w:sz w:val="28"/>
      <w:szCs w:val="32"/>
    </w:rPr>
  </w:style>
  <w:style w:type="paragraph" w:styleId="CommentText">
    <w:name w:val="annotation text"/>
    <w:basedOn w:val="Normal"/>
    <w:link w:val="CommentTextChar"/>
    <w:uiPriority w:val="99"/>
    <w:unhideWhenUsed/>
    <w:rsid w:val="00B37ABA"/>
    <w:pPr>
      <w:spacing w:line="240" w:lineRule="auto"/>
    </w:pPr>
    <w:rPr>
      <w:sz w:val="20"/>
      <w:szCs w:val="20"/>
    </w:rPr>
  </w:style>
  <w:style w:type="character" w:customStyle="1" w:styleId="CommentTextChar">
    <w:name w:val="Comment Text Char"/>
    <w:basedOn w:val="DefaultParagraphFont"/>
    <w:link w:val="CommentText"/>
    <w:uiPriority w:val="99"/>
    <w:rsid w:val="00B37ABA"/>
    <w:rPr>
      <w:sz w:val="20"/>
      <w:szCs w:val="20"/>
    </w:rPr>
  </w:style>
  <w:style w:type="character" w:styleId="CommentReference">
    <w:name w:val="annotation reference"/>
    <w:basedOn w:val="DefaultParagraphFont"/>
    <w:uiPriority w:val="99"/>
    <w:semiHidden/>
    <w:unhideWhenUsed/>
    <w:rsid w:val="00B37ABA"/>
    <w:rPr>
      <w:sz w:val="16"/>
      <w:szCs w:val="16"/>
    </w:rPr>
  </w:style>
  <w:style w:type="paragraph" w:styleId="Revision">
    <w:name w:val="Revision"/>
    <w:hidden/>
    <w:uiPriority w:val="99"/>
    <w:semiHidden/>
    <w:rsid w:val="008D3F21"/>
    <w:pPr>
      <w:spacing w:after="0" w:line="240" w:lineRule="auto"/>
    </w:pPr>
  </w:style>
  <w:style w:type="paragraph" w:styleId="CommentSubject">
    <w:name w:val="annotation subject"/>
    <w:basedOn w:val="CommentText"/>
    <w:next w:val="CommentText"/>
    <w:link w:val="CommentSubjectChar"/>
    <w:uiPriority w:val="99"/>
    <w:semiHidden/>
    <w:unhideWhenUsed/>
    <w:rsid w:val="00077A67"/>
    <w:rPr>
      <w:b/>
      <w:bCs/>
    </w:rPr>
  </w:style>
  <w:style w:type="character" w:customStyle="1" w:styleId="CommentSubjectChar">
    <w:name w:val="Comment Subject Char"/>
    <w:basedOn w:val="CommentTextChar"/>
    <w:link w:val="CommentSubject"/>
    <w:uiPriority w:val="99"/>
    <w:semiHidden/>
    <w:rsid w:val="00077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07891">
      <w:bodyDiv w:val="1"/>
      <w:marLeft w:val="0"/>
      <w:marRight w:val="0"/>
      <w:marTop w:val="0"/>
      <w:marBottom w:val="0"/>
      <w:divBdr>
        <w:top w:val="none" w:sz="0" w:space="0" w:color="auto"/>
        <w:left w:val="none" w:sz="0" w:space="0" w:color="auto"/>
        <w:bottom w:val="none" w:sz="0" w:space="0" w:color="auto"/>
        <w:right w:val="none" w:sz="0" w:space="0" w:color="auto"/>
      </w:divBdr>
    </w:div>
    <w:div w:id="635796317">
      <w:bodyDiv w:val="1"/>
      <w:marLeft w:val="0"/>
      <w:marRight w:val="0"/>
      <w:marTop w:val="0"/>
      <w:marBottom w:val="0"/>
      <w:divBdr>
        <w:top w:val="none" w:sz="0" w:space="0" w:color="auto"/>
        <w:left w:val="none" w:sz="0" w:space="0" w:color="auto"/>
        <w:bottom w:val="none" w:sz="0" w:space="0" w:color="auto"/>
        <w:right w:val="none" w:sz="0" w:space="0" w:color="auto"/>
      </w:divBdr>
    </w:div>
    <w:div w:id="937762325">
      <w:bodyDiv w:val="1"/>
      <w:marLeft w:val="0"/>
      <w:marRight w:val="0"/>
      <w:marTop w:val="0"/>
      <w:marBottom w:val="0"/>
      <w:divBdr>
        <w:top w:val="none" w:sz="0" w:space="0" w:color="auto"/>
        <w:left w:val="none" w:sz="0" w:space="0" w:color="auto"/>
        <w:bottom w:val="none" w:sz="0" w:space="0" w:color="auto"/>
        <w:right w:val="none" w:sz="0" w:space="0" w:color="auto"/>
      </w:divBdr>
    </w:div>
    <w:div w:id="1151673097">
      <w:bodyDiv w:val="1"/>
      <w:marLeft w:val="0"/>
      <w:marRight w:val="0"/>
      <w:marTop w:val="0"/>
      <w:marBottom w:val="0"/>
      <w:divBdr>
        <w:top w:val="none" w:sz="0" w:space="0" w:color="auto"/>
        <w:left w:val="none" w:sz="0" w:space="0" w:color="auto"/>
        <w:bottom w:val="none" w:sz="0" w:space="0" w:color="auto"/>
        <w:right w:val="none" w:sz="0" w:space="0" w:color="auto"/>
      </w:divBdr>
    </w:div>
    <w:div w:id="14272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EFED-DC22-4D97-B504-6B60FA83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3469</Words>
  <Characters>19775</Characters>
  <Application>Microsoft Office Word</Application>
  <DocSecurity>0</DocSecurity>
  <Lines>164</Lines>
  <Paragraphs>46</Paragraphs>
  <ScaleCrop>false</ScaleCrop>
  <Company/>
  <LinksUpToDate>false</LinksUpToDate>
  <CharactersWithSpaces>23198</CharactersWithSpaces>
  <SharedDoc>false</SharedDoc>
  <HLinks>
    <vt:vector size="96" baseType="variant">
      <vt:variant>
        <vt:i4>1114163</vt:i4>
      </vt:variant>
      <vt:variant>
        <vt:i4>92</vt:i4>
      </vt:variant>
      <vt:variant>
        <vt:i4>0</vt:i4>
      </vt:variant>
      <vt:variant>
        <vt:i4>5</vt:i4>
      </vt:variant>
      <vt:variant>
        <vt:lpwstr/>
      </vt:variant>
      <vt:variant>
        <vt:lpwstr>_Toc201765647</vt:lpwstr>
      </vt:variant>
      <vt:variant>
        <vt:i4>1114163</vt:i4>
      </vt:variant>
      <vt:variant>
        <vt:i4>86</vt:i4>
      </vt:variant>
      <vt:variant>
        <vt:i4>0</vt:i4>
      </vt:variant>
      <vt:variant>
        <vt:i4>5</vt:i4>
      </vt:variant>
      <vt:variant>
        <vt:lpwstr/>
      </vt:variant>
      <vt:variant>
        <vt:lpwstr>_Toc201765646</vt:lpwstr>
      </vt:variant>
      <vt:variant>
        <vt:i4>1114163</vt:i4>
      </vt:variant>
      <vt:variant>
        <vt:i4>80</vt:i4>
      </vt:variant>
      <vt:variant>
        <vt:i4>0</vt:i4>
      </vt:variant>
      <vt:variant>
        <vt:i4>5</vt:i4>
      </vt:variant>
      <vt:variant>
        <vt:lpwstr/>
      </vt:variant>
      <vt:variant>
        <vt:lpwstr>_Toc201765645</vt:lpwstr>
      </vt:variant>
      <vt:variant>
        <vt:i4>1114163</vt:i4>
      </vt:variant>
      <vt:variant>
        <vt:i4>74</vt:i4>
      </vt:variant>
      <vt:variant>
        <vt:i4>0</vt:i4>
      </vt:variant>
      <vt:variant>
        <vt:i4>5</vt:i4>
      </vt:variant>
      <vt:variant>
        <vt:lpwstr/>
      </vt:variant>
      <vt:variant>
        <vt:lpwstr>_Toc201765644</vt:lpwstr>
      </vt:variant>
      <vt:variant>
        <vt:i4>1114163</vt:i4>
      </vt:variant>
      <vt:variant>
        <vt:i4>68</vt:i4>
      </vt:variant>
      <vt:variant>
        <vt:i4>0</vt:i4>
      </vt:variant>
      <vt:variant>
        <vt:i4>5</vt:i4>
      </vt:variant>
      <vt:variant>
        <vt:lpwstr/>
      </vt:variant>
      <vt:variant>
        <vt:lpwstr>_Toc201765643</vt:lpwstr>
      </vt:variant>
      <vt:variant>
        <vt:i4>1114163</vt:i4>
      </vt:variant>
      <vt:variant>
        <vt:i4>62</vt:i4>
      </vt:variant>
      <vt:variant>
        <vt:i4>0</vt:i4>
      </vt:variant>
      <vt:variant>
        <vt:i4>5</vt:i4>
      </vt:variant>
      <vt:variant>
        <vt:lpwstr/>
      </vt:variant>
      <vt:variant>
        <vt:lpwstr>_Toc201765642</vt:lpwstr>
      </vt:variant>
      <vt:variant>
        <vt:i4>1114163</vt:i4>
      </vt:variant>
      <vt:variant>
        <vt:i4>56</vt:i4>
      </vt:variant>
      <vt:variant>
        <vt:i4>0</vt:i4>
      </vt:variant>
      <vt:variant>
        <vt:i4>5</vt:i4>
      </vt:variant>
      <vt:variant>
        <vt:lpwstr/>
      </vt:variant>
      <vt:variant>
        <vt:lpwstr>_Toc201765641</vt:lpwstr>
      </vt:variant>
      <vt:variant>
        <vt:i4>1114163</vt:i4>
      </vt:variant>
      <vt:variant>
        <vt:i4>50</vt:i4>
      </vt:variant>
      <vt:variant>
        <vt:i4>0</vt:i4>
      </vt:variant>
      <vt:variant>
        <vt:i4>5</vt:i4>
      </vt:variant>
      <vt:variant>
        <vt:lpwstr/>
      </vt:variant>
      <vt:variant>
        <vt:lpwstr>_Toc201765640</vt:lpwstr>
      </vt:variant>
      <vt:variant>
        <vt:i4>1441843</vt:i4>
      </vt:variant>
      <vt:variant>
        <vt:i4>44</vt:i4>
      </vt:variant>
      <vt:variant>
        <vt:i4>0</vt:i4>
      </vt:variant>
      <vt:variant>
        <vt:i4>5</vt:i4>
      </vt:variant>
      <vt:variant>
        <vt:lpwstr/>
      </vt:variant>
      <vt:variant>
        <vt:lpwstr>_Toc201765639</vt:lpwstr>
      </vt:variant>
      <vt:variant>
        <vt:i4>1441843</vt:i4>
      </vt:variant>
      <vt:variant>
        <vt:i4>38</vt:i4>
      </vt:variant>
      <vt:variant>
        <vt:i4>0</vt:i4>
      </vt:variant>
      <vt:variant>
        <vt:i4>5</vt:i4>
      </vt:variant>
      <vt:variant>
        <vt:lpwstr/>
      </vt:variant>
      <vt:variant>
        <vt:lpwstr>_Toc201765638</vt:lpwstr>
      </vt:variant>
      <vt:variant>
        <vt:i4>1441843</vt:i4>
      </vt:variant>
      <vt:variant>
        <vt:i4>32</vt:i4>
      </vt:variant>
      <vt:variant>
        <vt:i4>0</vt:i4>
      </vt:variant>
      <vt:variant>
        <vt:i4>5</vt:i4>
      </vt:variant>
      <vt:variant>
        <vt:lpwstr/>
      </vt:variant>
      <vt:variant>
        <vt:lpwstr>_Toc201765637</vt:lpwstr>
      </vt:variant>
      <vt:variant>
        <vt:i4>1441843</vt:i4>
      </vt:variant>
      <vt:variant>
        <vt:i4>26</vt:i4>
      </vt:variant>
      <vt:variant>
        <vt:i4>0</vt:i4>
      </vt:variant>
      <vt:variant>
        <vt:i4>5</vt:i4>
      </vt:variant>
      <vt:variant>
        <vt:lpwstr/>
      </vt:variant>
      <vt:variant>
        <vt:lpwstr>_Toc201765636</vt:lpwstr>
      </vt:variant>
      <vt:variant>
        <vt:i4>1441843</vt:i4>
      </vt:variant>
      <vt:variant>
        <vt:i4>20</vt:i4>
      </vt:variant>
      <vt:variant>
        <vt:i4>0</vt:i4>
      </vt:variant>
      <vt:variant>
        <vt:i4>5</vt:i4>
      </vt:variant>
      <vt:variant>
        <vt:lpwstr/>
      </vt:variant>
      <vt:variant>
        <vt:lpwstr>_Toc201765635</vt:lpwstr>
      </vt:variant>
      <vt:variant>
        <vt:i4>1441843</vt:i4>
      </vt:variant>
      <vt:variant>
        <vt:i4>14</vt:i4>
      </vt:variant>
      <vt:variant>
        <vt:i4>0</vt:i4>
      </vt:variant>
      <vt:variant>
        <vt:i4>5</vt:i4>
      </vt:variant>
      <vt:variant>
        <vt:lpwstr/>
      </vt:variant>
      <vt:variant>
        <vt:lpwstr>_Toc201765634</vt:lpwstr>
      </vt:variant>
      <vt:variant>
        <vt:i4>1441843</vt:i4>
      </vt:variant>
      <vt:variant>
        <vt:i4>8</vt:i4>
      </vt:variant>
      <vt:variant>
        <vt:i4>0</vt:i4>
      </vt:variant>
      <vt:variant>
        <vt:i4>5</vt:i4>
      </vt:variant>
      <vt:variant>
        <vt:lpwstr/>
      </vt:variant>
      <vt:variant>
        <vt:lpwstr>_Toc201765633</vt:lpwstr>
      </vt:variant>
      <vt:variant>
        <vt:i4>1441843</vt:i4>
      </vt:variant>
      <vt:variant>
        <vt:i4>2</vt:i4>
      </vt:variant>
      <vt:variant>
        <vt:i4>0</vt:i4>
      </vt:variant>
      <vt:variant>
        <vt:i4>5</vt:i4>
      </vt:variant>
      <vt:variant>
        <vt:lpwstr/>
      </vt:variant>
      <vt:variant>
        <vt:lpwstr>_Toc201765632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2025-06-26T01:57:00Z</dcterms:created>
  <dcterms:modified xsi:type="dcterms:W3CDTF">2025-06-26T01:58:00Z</dcterms:modified>
</cp:coreProperties>
</file>